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9"/>
        <w:gridCol w:w="1538"/>
        <w:tblGridChange w:id="0">
          <w:tblGrid>
            <w:gridCol w:w="9029"/>
            <w:gridCol w:w="1538"/>
          </w:tblGrid>
        </w:tblGridChange>
      </w:tblGrid>
      <w:tr>
        <w:trPr>
          <w:cantSplit w:val="0"/>
          <w:trHeight w:val="81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Reconèixer els rols individuals i col·lectius de les persones dintre del sistema econòmic i constituir dinàmiques de participació ciutadana, prenent consciència de la interdependència dels factors econòmics, per valorar les desigualtats en l’accés als recursos i la distribució de la riquesa.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Integrar i promoure pràctiques econòmiques basades en valors humans, solidaris i sostenibles, amb consciència ciutadana, per contribuir a una societat més equitativa, justa i sostenible en un món global i divers.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i contrastar informació de diferents fonts i suports, a través de mètodes de recerca, amb rigor i sentit crític, per suggerir mesures econòmiques que millorin l’entorn social i el medi ambient.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Proves d’avaluació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Treballs, projectes i exposicions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Activitats orals/escrites, individuals/cooperatives i exercicis pràctics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Proves específiques (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vertAlign w:val="baseline"/>
                <w:rtl w:val="0"/>
              </w:rPr>
              <w:t xml:space="preserve">0%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Activitats i treballs (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vertAlign w:val="baseline"/>
                <w:rtl w:val="0"/>
              </w:rPr>
              <w:t xml:space="preserve">0%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Observació a l’aula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Compliment de les normes 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Esforç, implicació i regularitat en la realització del treball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Compromís per portar el material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Iniciativa, organització i autonomia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Participació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Assistència, retards, avisos i amonestacions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vertAlign w:val="baseline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</w:p>
    <w:p w:rsidR="00000000" w:rsidDel="00000000" w:rsidP="00000000" w:rsidRDefault="00000000" w:rsidRPr="00000000" w14:paraId="0000003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l’hora de valorar els treballs i els exercicis orals i/o escrits es tindran en compte els següents aspectes: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correcta realització (redacció, ortografia, riquesa lèxica, etc.)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El resultat del treball i la seva presentació (polidesa, originalitat, etc.)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El desenvolupament del pensament crític i posicionament conscient de l’alumne.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Les habilitats comunicatives, l’expressió de les idees pròpies i el respecte de les opinions alienes.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Les habilitats pel treball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col·laboratiu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i el sentit de compromís social.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El desenvolupament de competències de recerca i selecció d’informació, d’ús i apropiació d’eines de treball i comunicació.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L’ús de fonts adequades i suficients, iniciativa en la recerca i seguiment de les indicacions del tutor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Capacitats de síntesi, d’extracció de dades significatives, d’analitzar i resoldre les dificultats i entrebancs específics en el desenvolupament del treball.</w:t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 recuperar-lo d’acord amb les indicacions i terminis fixats pel/per la professor/a obtenint una nota màxima de 5.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Durant el trimestre, i abans de la finalització del període d’avaluació d’aquest, l’alumne/a, haurà disposat de les eines suficients per superar amb èxit el trimestre. Si s’escau, el/la professor/a, fent el seguiment individualitzat de cada alumne/a afegirà activitats de reforç i superació d’aquelles competències en les quals es presentin més dificultats d’assoliment.  En cas de no superar el trimestre, l’alumne/a haurà recuperar-lo d’acord amb les indicacions i terminis facilitats pel/per la professor/a de la matèria, obtenint una nota màxima de 5.</w:t>
      </w:r>
    </w:p>
    <w:p w:rsidR="00000000" w:rsidDel="00000000" w:rsidP="00000000" w:rsidRDefault="00000000" w:rsidRPr="00000000" w14:paraId="0000004A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5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6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5750" cy="320040"/>
                <wp:effectExtent b="0" l="0" r="0" t="0"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3200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6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6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  <w:sz w:val="22"/>
        <w:szCs w:val="22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5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-809623</wp:posOffset>
                </wp:positionH>
                <wp:positionV relativeFrom="paragraph">
                  <wp:posOffset>-1902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56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9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5A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Economia (optativa trimestral )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C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5D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1er  </w:t>
          </w: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ESO</w:t>
          </w:r>
        </w:p>
      </w:tc>
    </w:tr>
  </w:tbl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6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WsfiIcR0Kr90PaY1wU/KwVd8UQ==">CgMxLjA4AHIhMTRCV1ZZbjJDTnBKTEs0YUF2OXhKclE2TDA2RUR6SUg0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2024-07-04T10:18:00Z</dcterms:created>
  <dc:creator>j&amp;n</dc:creator>
</cp:coreProperties>
</file>