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Times New Roman"/>
          <w:b/>
          <w:b/>
          <w:color w:val="00B0F0"/>
          <w:kern w:val="0"/>
          <w:sz w:val="28"/>
          <w:szCs w:val="24"/>
          <w:lang w:val="ca-ES" w:eastAsia="es-ES"/>
          <w14:ligatures w14:val="none"/>
        </w:rPr>
      </w:pPr>
      <w:r>
        <w:rPr>
          <w:rFonts w:eastAsia="Times New Roman" w:cs="Times New Roman" w:ascii="Century Gothic" w:hAnsi="Century Gothic"/>
          <w:b/>
          <w:color w:val="00B0F0"/>
          <w:kern w:val="0"/>
          <w:sz w:val="28"/>
          <w:szCs w:val="24"/>
          <w:lang w:val="ca-ES" w:eastAsia="es-ES"/>
          <w14:ligatures w14:val="none"/>
        </w:rPr>
      </w:r>
      <w:bookmarkStart w:id="0" w:name="_GoBack"/>
      <w:bookmarkStart w:id="1" w:name="_GoBack"/>
      <w:bookmarkEnd w:id="1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b/>
          <w:b/>
          <w:color w:val="70AD47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70AD47"/>
          <w:kern w:val="0"/>
          <w:lang w:val="ca-ES" w:eastAsia="es-ES"/>
          <w14:ligatures w14:val="none"/>
        </w:rPr>
        <w:t>AVALUACIÓ ORDINÀRIA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240" w:after="60"/>
        <w:ind w:left="0" w:hanging="0"/>
        <w:outlineLvl w:val="2"/>
        <w:rPr>
          <w:rFonts w:ascii="Century Gothic" w:hAnsi="Century Gothic" w:eastAsia="ヒラギノ角ゴ Pro W3" w:cs="Arial"/>
          <w:b/>
          <w:b/>
          <w:color w:val="00B0F0"/>
          <w:kern w:val="2"/>
          <w:lang w:val="ca-ES" w:eastAsia="es-ES"/>
          <w14:ligatures w14:val="none"/>
        </w:rPr>
      </w:pPr>
      <w:r>
        <w:rPr>
          <w:rFonts w:eastAsia="ヒラギノ角ゴ Pro W3" w:cs="Arial" w:ascii="Century Gothic" w:hAnsi="Century Gothic"/>
          <w:b/>
          <w:color w:val="00B0F0"/>
          <w:kern w:val="2"/>
          <w:lang w:val="ca-ES" w:eastAsia="es-ES"/>
          <w14:ligatures w14:val="none"/>
        </w:rPr>
        <w:t>Nota trimestral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 xml:space="preserve">La nota final de la convocatòria trimestral s’obté a partir de les notes obtingudes en el treball de les competències específiques de la matèria seleccionades a continuació. 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Century Gothic" w:hAnsi="Century Gothic" w:eastAsia="Times New Roman" w:cs="Times New Roman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 xml:space="preserve">De caràcter general, els instruments d’avaluació seran diferents, preveuran </w:t>
      </w:r>
      <w:r>
        <w:rPr>
          <w:rFonts w:eastAsia="Times New Roman" w:cs="Arial" w:ascii="Century Gothic" w:hAnsi="Century Gothic"/>
          <w:color w:val="222222"/>
          <w:kern w:val="0"/>
          <w:shd w:fill="FFFFFF" w:val="clear"/>
          <w:lang w:val="ca-ES" w:eastAsia="es-ES"/>
          <w14:ligatures w14:val="none"/>
        </w:rPr>
        <w:t>l'autoavaluació i la co-avaluació d’alumnat i garantiran un seguiment continu de cada alumne/a al llarg del procés d'aprenentatge.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tbl>
      <w:tblPr>
        <w:tblW w:w="98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88"/>
        <w:gridCol w:w="1261"/>
      </w:tblGrid>
      <w:tr>
        <w:trPr>
          <w:trHeight w:val="807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  <w:t xml:space="preserve">COMPETÈNCIES ESPECÍFIQUES MATÈRIA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  <w:t>SELECCIÓ</w:t>
            </w:r>
          </w:p>
        </w:tc>
      </w:tr>
      <w:tr>
        <w:trPr>
          <w:trHeight w:val="907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Century Gothic" w:hAnsi="Century Gothic" w:eastAsia="Calibri" w:cs="Times New Roman"/>
                <w:color w:val="333333"/>
                <w:kern w:val="0"/>
                <w:sz w:val="16"/>
                <w:szCs w:val="16"/>
                <w:lang w:eastAsia="es-ES_tradnl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Competència específica 1.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>
              <w:rPr>
                <w:rFonts w:eastAsia="Calibri" w:cs="Times New Roman" w:ascii="Century Gothic" w:hAnsi="Century Gothic"/>
                <w:i/>
                <w:i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Descriure i valorar la diversitat lingüística i cultural a partir del reconeixement de les llengües de l’alumnat i la realitat plurilingüe, pluricultural i intercultural, per afavorir la transferència lingüística, identificar i rebutjar estereotips i prejudicis lingüístics i valorar aquesta diversitat com a font de riquesa cultural.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  <w:t>1</w:t>
            </w: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shd w:fill="B4C7DC" w:val="clear"/>
                <w:vertAlign w:val="superscript"/>
                <w:lang w:val="ca-ES" w:eastAsia="es-ES"/>
                <w14:ligatures w14:val="none"/>
              </w:rPr>
              <w:t>r</w:t>
            </w: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  <w:t xml:space="preserve"> - 4t</w:t>
            </w:r>
          </w:p>
        </w:tc>
      </w:tr>
      <w:tr>
        <w:trPr>
          <w:trHeight w:val="693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2. </w:t>
            </w:r>
            <w:r>
              <w:rPr>
                <w:rFonts w:eastAsia="Calibri" w:cs="Times New Roman" w:ascii="Century Gothic" w:hAnsi="Century Gothic"/>
                <w:i/>
                <w:i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Comprendre i interpretar textos orals i multimodals, en la llengua estàndard, recollint el sentit general i la informació més rellevant, la seva forma i el seu contingut, per construir coneixement, formar-se opinió i eixamplar les possibilitats de gaudi i lleure.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  <w:t>1r - 4t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3.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  <w:t>1r – 4t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4.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1 - 2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5.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800080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800080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  <w:t>1r – 4t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Competència específica 6 .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800080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800080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7.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cs="Times New Roman"/>
                <w:b/>
                <w:b/>
                <w:bCs/>
                <w:color w:val="800080"/>
                <w:kern w:val="0"/>
                <w:sz w:val="16"/>
                <w:szCs w:val="16"/>
                <w:shd w:fill="auto" w:val="clear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800080"/>
                <w:kern w:val="0"/>
                <w:sz w:val="16"/>
                <w:szCs w:val="16"/>
                <w:shd w:fill="auto" w:val="clear"/>
                <w:lang w:val="ca-ES" w:eastAsia="es-ES"/>
                <w14:ligatures w14:val="none"/>
              </w:rPr>
              <w:t>3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8.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Mediar entre diferents llengües, fent servir estratègies i coneixements senzills orientats a explicar conceptes o simplificar missatges, transmetre informació de manera eficaç, clara i responsable.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>1 - 2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9.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Ampliar i usar els repertoris lingüístics personals entre diferents llengües, reflexionant de manera crítica sobre el seu funcionament i prenent consciència de les estratègies i coneixements propis, per millorar la resposta a necessitats comunicatives concretes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  <w:t>3 - 4</w:t>
            </w:r>
          </w:p>
        </w:tc>
      </w:tr>
      <w:tr>
        <w:trPr>
          <w:trHeight w:val="402" w:hRule="atLeast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</w:tcPr>
          <w:p>
            <w:pPr>
              <w:pStyle w:val="Normal"/>
              <w:widowControl w:val="false"/>
              <w:spacing w:lineRule="auto" w:line="240" w:before="0" w:after="150"/>
              <w:jc w:val="both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Competència específica 10. </w:t>
            </w:r>
            <w:r>
              <w:rPr>
                <w:rFonts w:eastAsia="Calibri" w:cs="Arial" w:ascii="Century Gothic" w:hAnsi="Century Gothic"/>
                <w:i/>
                <w:iCs/>
                <w:kern w:val="0"/>
                <w:sz w:val="16"/>
                <w:szCs w:val="16"/>
                <w:lang w:val="ca-ES" w:eastAsia="es-ES"/>
                <w14:ligatures w14:val="none"/>
              </w:rPr>
              <w:t>Posar al servei de la connivència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Century Gothic" w:hAnsi="Century Gothic" w:eastAsia="Calibri" w:cs="Times New Roman"/>
                <w:b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</w:pPr>
            <w:r>
              <w:rPr>
                <w:rFonts w:eastAsia="Calibri" w:cs="Times New Roman" w:ascii="Century Gothic" w:hAnsi="Century Gothic"/>
                <w:b/>
                <w:bCs/>
                <w:color w:val="333333"/>
                <w:kern w:val="0"/>
                <w:sz w:val="16"/>
                <w:szCs w:val="16"/>
                <w:shd w:fill="B4C7DC" w:val="clear"/>
                <w:lang w:val="ca-ES" w:eastAsia="es-ES"/>
                <w14:ligatures w14:val="none"/>
              </w:rPr>
              <w:t>1r - 4t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tbl>
      <w:tblPr>
        <w:tblW w:w="106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6"/>
        <w:gridCol w:w="4096"/>
        <w:gridCol w:w="1943"/>
      </w:tblGrid>
      <w:tr>
        <w:trPr>
          <w:trHeight w:val="718" w:hRule="atLeast"/>
        </w:trPr>
        <w:tc>
          <w:tcPr>
            <w:tcW w:w="46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  <w:t>INSTRUMENTS D’AVALUACIÓ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center"/>
              <w:rPr>
                <w:rFonts w:ascii="Century Gothic" w:hAnsi="Century Gothic" w:eastAsia="Times New Roman" w:cs="Arial"/>
                <w:b/>
                <w:b/>
                <w:bCs/>
                <w:color w:val="FFFFFF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color w:val="FFFFFF"/>
                <w:kern w:val="0"/>
                <w:lang w:val="ca-ES" w:eastAsia="es-ES"/>
                <w14:ligatures w14:val="none"/>
              </w:rPr>
              <w:t>PONDERACIONS</w:t>
            </w:r>
          </w:p>
        </w:tc>
      </w:tr>
      <w:tr>
        <w:trPr>
          <w:trHeight w:val="711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COMPETÈNCIES específiques de matèria treballades  aquest curs/nivell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1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 xml:space="preserve">Tasques avaluables d’ús lingüístic 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2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Prova de listening skills de cada unitat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3 / 9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Activitats orals i ús de l’anglès com a llengua vehicular a l’aula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5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Prova de writing skills de cada unitat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Redaccions de cada unitat *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 xml:space="preserve">Competència Específica </w:t>
            </w: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6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Prova de reading skills de cada unitat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14:ligatures w14:val="none"/>
              </w:rPr>
            </w:pPr>
            <w:r>
              <w:rPr>
                <w14:ligatures w14:val="none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ind w:left="1440" w:hanging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lang w:val="ca-ES" w:eastAsia="es-ES"/>
                <w14:ligatures w14:val="none"/>
              </w:rPr>
              <w:t>Competència Específica 10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Feina a classe individual i/o grupal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Activitats de pràctica/reforç a casa (en paper i/o online)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contextualSpacing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Situacions d’aprenentatge (una per trimestre) + reader** + altres projectes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14:ligatures w14:val="none"/>
              </w:rPr>
            </w:pPr>
            <w:r>
              <w:rPr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5%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10%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15%</w:t>
            </w:r>
          </w:p>
        </w:tc>
      </w:tr>
      <w:tr>
        <w:trPr>
          <w:trHeight w:val="802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b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COMPETÈNCIES comunes a totes les matèries: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i/>
                <w:i/>
                <w:kern w:val="0"/>
                <w:sz w:val="20"/>
                <w:szCs w:val="2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i/>
                <w:kern w:val="0"/>
                <w:sz w:val="20"/>
                <w:szCs w:val="20"/>
                <w:lang w:val="ca-ES" w:eastAsia="es-ES"/>
                <w14:ligatures w14:val="none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i/>
                <w:kern w:val="0"/>
                <w:sz w:val="20"/>
                <w:szCs w:val="20"/>
                <w:lang w:val="ca-ES" w:eastAsia="es-ES"/>
                <w14:ligatures w14:val="none"/>
              </w:rPr>
              <w:t>Esperit de superació, esforç i treball demostrat diàriament tant a casa com a l’aula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Observació a l’aula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Observació a l’aula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5%</w:t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</w:r>
          </w:p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pacing w:lineRule="auto" w:line="240" w:before="0" w:after="0"/>
              <w:jc w:val="both"/>
              <w:rPr>
                <w:rFonts w:ascii="Century Gothic" w:hAnsi="Century Gothic" w:eastAsia="Times New Roman" w:cs="Arial"/>
                <w:kern w:val="0"/>
                <w:lang w:val="ca-ES" w:eastAsia="es-ES"/>
                <w14:ligatures w14:val="none"/>
              </w:rPr>
            </w:pPr>
            <w:r>
              <w:rPr>
                <w:rFonts w:eastAsia="Times New Roman" w:cs="Arial" w:ascii="Century Gothic" w:hAnsi="Century Gothic"/>
                <w:kern w:val="0"/>
                <w:lang w:val="ca-ES" w:eastAsia="es-ES"/>
                <w14:ligatures w14:val="none"/>
              </w:rPr>
              <w:t>5%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color w:val="00B0F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00B0F0"/>
          <w:kern w:val="0"/>
          <w:lang w:val="ca-ES" w:eastAsia="es-ES"/>
          <w14:ligatures w14:val="none"/>
        </w:rPr>
        <w:t>Observacions rellevants del instruments d’avaluació emprats.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Per aprovar el trimestre caldrà haver superat ≥50% la suma de les competències avaluades.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cs="Arial"/>
          <w:lang w:val="ca-ES"/>
        </w:rPr>
      </w:pPr>
      <w:r>
        <w:rPr>
          <w:rFonts w:cs="Arial" w:ascii="Century Gothic" w:hAnsi="Century Gothic"/>
          <w:lang w:val="ca-ES"/>
        </w:rPr>
        <w:t xml:space="preserve">*En cas de les </w:t>
      </w:r>
      <w:r>
        <w:rPr>
          <w:rFonts w:cs="Arial" w:ascii="Century Gothic" w:hAnsi="Century Gothic"/>
          <w:b/>
          <w:bCs/>
          <w:lang w:val="ca-ES"/>
        </w:rPr>
        <w:t>redaccions</w:t>
      </w:r>
      <w:r>
        <w:rPr>
          <w:rFonts w:cs="Arial" w:ascii="Century Gothic" w:hAnsi="Century Gothic"/>
          <w:lang w:val="ca-ES"/>
        </w:rPr>
        <w:t>, l’alumne/a ha de lliurar una segona versió de la redacció corregida en funció de  les anotacions del professor/a. En lliurar aquesta segona versió, la nota de la redacció pot pujar fins a un punt més de la nota obtinguda en el primer lliurament. Aquesta segona versió ha d’adjuntar-se a la primera, per tal que el professorat pugui comprovar que s’han assimilat les correccions suggerides. Aquesta segona versió ha de ser lliurada en un termini de set dies posteriors a la recepció de la correcció de la primera versió.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cs="Arial"/>
          <w:lang w:val="ca-ES"/>
        </w:rPr>
      </w:pPr>
      <w:r>
        <w:rPr>
          <w:rFonts w:cs="Arial" w:ascii="Century Gothic" w:hAnsi="Century Gothic"/>
          <w:lang w:val="ca-ES"/>
        </w:rPr>
        <w:t xml:space="preserve">Les primeres versions de les redaccions seran lliurades i retornades en paper i a mà, i seran fetes en una hora de classe. No es permetrà l’ús de mòbil ni ordinador per a fer aquesta primera versió.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cs="Arial"/>
          <w:lang w:val="ca-ES"/>
        </w:rPr>
      </w:pPr>
      <w:r>
        <w:rPr>
          <w:rFonts w:cs="Arial" w:ascii="Century Gothic" w:hAnsi="Century Gothic"/>
          <w:b/>
          <w:bCs/>
          <w:lang w:val="ca-ES"/>
        </w:rPr>
        <w:t>**Reader/Llibre de lectura</w:t>
      </w:r>
      <w:r>
        <w:rPr>
          <w:rFonts w:cs="Arial" w:ascii="Century Gothic" w:hAnsi="Century Gothic"/>
          <w:lang w:val="ca-ES"/>
        </w:rPr>
        <w:t>. Es treballarà al llarg del 2n i/o 3r trimestre. En el trimestre/s que no es treballi el llibre de lectura, el percentatge assignat serà el de les activitats recollides a la situació d’aprenentatge trimestral així com el d’altres projectes.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cs="Arial"/>
          <w:lang w:val="ca-ES"/>
        </w:rPr>
      </w:pPr>
      <w:r>
        <w:rPr>
          <w:rFonts w:cs="Arial" w:ascii="Century Gothic" w:hAnsi="Century Gothic"/>
          <w:lang w:val="ca-ES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color w:val="00B0F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00B0F0"/>
          <w:kern w:val="0"/>
          <w:lang w:val="ca-ES" w:eastAsia="es-ES"/>
          <w14:ligatures w14:val="none"/>
        </w:rPr>
        <w:t xml:space="preserve">Justificació d’absència el dia d’una prova o examen.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Si l’alumne no assisteix a classe el dia de la prova o examen, haurà de justificar documentalment la seva absència al professor afectat i tutor/a per tenir dret a fer-lo en un altre moment.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A llarg d’un mateix curs, només es pot faltar 2 vegades a un examen sense justificant del metge. A partir de la tercera vegada, sí caldrà un justificant mèdic.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bCs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bCs/>
          <w:kern w:val="0"/>
          <w:lang w:val="ca-ES" w:eastAsia="es-ES"/>
          <w14:ligatures w14:val="none"/>
        </w:rPr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color w:val="00B0F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00B0F0"/>
          <w:kern w:val="0"/>
          <w:lang w:val="ca-ES" w:eastAsia="es-ES"/>
          <w14:ligatures w14:val="none"/>
        </w:rPr>
        <w:t>Activitats de recuperació trimestral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0" w:after="0"/>
        <w:jc w:val="both"/>
        <w:rPr>
          <w:rFonts w:ascii="Century Gothic" w:hAnsi="Century Gothic" w:eastAsia="Times New Roman" w:cs="Arial"/>
          <w:b/>
          <w:b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 xml:space="preserve">En cas de no superar el trimestre, l’alumne/-a haurà de superar el trimestre superior. 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240" w:after="60"/>
        <w:ind w:left="0" w:hanging="0"/>
        <w:jc w:val="both"/>
        <w:outlineLvl w:val="2"/>
        <w:rPr>
          <w:rFonts w:ascii="Century Gothic" w:hAnsi="Century Gothic" w:eastAsia="ヒラギノ角ゴ Pro W3" w:cs="Arial"/>
          <w:b/>
          <w:b/>
          <w:color w:val="00B0F0"/>
          <w:kern w:val="2"/>
          <w:lang w:val="ca-ES" w:eastAsia="es-ES"/>
          <w14:ligatures w14:val="none"/>
        </w:rPr>
      </w:pPr>
      <w:r>
        <w:rPr>
          <w:rFonts w:eastAsia="ヒラギノ角ゴ Pro W3" w:cs="Arial" w:ascii="Century Gothic" w:hAnsi="Century Gothic"/>
          <w:b/>
          <w:color w:val="00B0F0"/>
          <w:kern w:val="2"/>
          <w:lang w:val="ca-ES" w:eastAsia="es-ES"/>
          <w14:ligatures w14:val="none"/>
        </w:rPr>
        <w:t>Nota final contínua (juny)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La nota de la final contínua s’obté a partir de les notes obtingudes en els diferents trimestres segons: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i/>
          <w:i/>
          <w:color w:val="00B05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00B050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 xml:space="preserve">QF = </w:t>
      </w:r>
      <w:r>
        <w:rPr>
          <w:rFonts w:eastAsia="Times New Roman" w:cs="Arial" w:ascii="Century Gothic" w:hAnsi="Century Gothic"/>
          <w:i/>
          <w:color w:val="FF0000"/>
          <w:kern w:val="0"/>
          <w:u w:val="single"/>
          <w:lang w:val="ca-ES" w:eastAsia="es-ES"/>
          <w14:ligatures w14:val="none"/>
        </w:rPr>
        <w:t>QT1x30% + QT2x30%  + QT3x40%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  <w:t>QF = qualificació final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  <w:t>QT1 = qualificació del primer trimestre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  <w:t>QT2 = qualificació del segon trimestre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  <w:t>QT3 = qualificació del tercer trimestre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i/>
          <w:i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kern w:val="0"/>
          <w:lang w:val="ca-ES" w:eastAsia="es-ES"/>
          <w14:ligatures w14:val="none"/>
        </w:rPr>
      </w:r>
    </w:p>
    <w:p>
      <w:pPr>
        <w:pStyle w:val="Normal"/>
        <w:spacing w:lineRule="auto" w:line="240" w:beforeAutospacing="1" w:afterAutospacing="1"/>
        <w:jc w:val="both"/>
        <w:rPr>
          <w:rFonts w:ascii="Century Gothic" w:hAnsi="Century Gothic" w:eastAsia="Calibri" w:cs="Arial"/>
          <w:kern w:val="0"/>
          <w:lang w:val="ca-ES" w:eastAsia="es-ES"/>
          <w14:ligatures w14:val="none"/>
        </w:rPr>
      </w:pPr>
      <w:r>
        <w:rPr>
          <w:rFonts w:eastAsia="Calibri" w:cs="Arial" w:ascii="Century Gothic" w:hAnsi="Century Gothic"/>
          <w:kern w:val="0"/>
          <w:lang w:val="ca-ES" w:eastAsia="es-ES"/>
          <w14:ligatures w14:val="none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>AE: assoliment excel·lent (entre 9 i 10)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>AN: assoliment notable (entre 7 i 8)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>AS: assoliment satisfactori  (entre 5 i 6)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Arial"/>
          <w:i/>
          <w:i/>
          <w:color w:val="FF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i/>
          <w:color w:val="FF0000"/>
          <w:kern w:val="0"/>
          <w:lang w:val="ca-ES" w:eastAsia="es-ES"/>
          <w14:ligatures w14:val="none"/>
        </w:rPr>
        <w:t>NA: no assoliment  (menys de 5)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color w:val="FF2712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color w:val="FF2712"/>
          <w:kern w:val="0"/>
          <w:lang w:val="ca-ES" w:eastAsia="es-ES"/>
          <w14:ligatures w14:val="none"/>
        </w:rPr>
      </w:r>
    </w:p>
    <w:p>
      <w:pPr>
        <w:pStyle w:val="Normal"/>
        <w:spacing w:lineRule="auto" w:line="240" w:before="0" w:after="240"/>
        <w:jc w:val="both"/>
        <w:rPr>
          <w:rFonts w:ascii="Century Gothic" w:hAnsi="Century Gothic" w:eastAsia="Times New Roman" w:cs="Arial"/>
          <w:bCs/>
          <w:color w:val="00000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Cs/>
          <w:color w:val="000000"/>
          <w:kern w:val="0"/>
          <w:lang w:val="ca-ES" w:eastAsia="es-ES"/>
          <w14:ligatures w14:val="none"/>
        </w:rPr>
        <w:t>L’arrodoniment de les notes serà a l’alça a partir de x,50.</w:t>
      </w:r>
    </w:p>
    <w:p>
      <w:pPr>
        <w:pStyle w:val="Normal"/>
        <w:spacing w:lineRule="auto" w:line="240" w:before="0" w:after="240"/>
        <w:jc w:val="both"/>
        <w:rPr>
          <w:rFonts w:ascii="Century Gothic" w:hAnsi="Century Gothic" w:eastAsia="Times New Roman" w:cs="Arial"/>
          <w:color w:val="00B0F0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b/>
          <w:color w:val="00B0F0"/>
          <w:kern w:val="0"/>
          <w:lang w:val="ca-ES" w:eastAsia="es-ES"/>
          <w14:ligatures w14:val="none"/>
        </w:rPr>
        <w:t>RECUPERACIÓ MATÈRIA PENDENT CURSOS ANTERIORS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-A principi de curs, tot l’alumnat i famílies rebran les instruccions per recuperar la/es matèria/es pendents de  cursos anteriors a través d’un document que a la vegada estarà publicat a la pàgina web del centre.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 xml:space="preserve">-Una matèria suspesa de cursos anteriors quedarà automàticament aprovada en el cas que l’alumne/a assoleixi l’aprovat de la mateixa matèria però d’un curs superior.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uppressAutoHyphens w:val="true"/>
        <w:spacing w:lineRule="auto" w:line="240" w:before="0" w:after="0"/>
        <w:jc w:val="both"/>
        <w:rPr>
          <w:rFonts w:ascii="Century Gothic" w:hAnsi="Century Gothic" w:eastAsia="Times New Roman" w:cs="Arial"/>
          <w:kern w:val="0"/>
          <w:lang w:val="ca-ES" w:eastAsia="es-ES"/>
          <w14:ligatures w14:val="none"/>
        </w:rPr>
      </w:pPr>
      <w:r>
        <w:rPr>
          <w:rFonts w:eastAsia="Times New Roman" w:cs="Arial" w:ascii="Century Gothic" w:hAnsi="Century Gothic"/>
          <w:kern w:val="0"/>
          <w:lang w:val="ca-ES" w:eastAsia="es-ES"/>
          <w14:ligatures w14:val="none"/>
        </w:rPr>
        <w:t>-L'alumnat amb matèries pendents de cursos anteriors que passi a un grup d'adaptació individualitzada serà avaluat segons els criteris específics del nou grup entrant.</w:t>
      </w:r>
    </w:p>
    <w:p>
      <w:pPr>
        <w:pStyle w:val="Normal"/>
        <w:spacing w:lineRule="auto" w:line="240" w:before="0" w:after="0"/>
        <w:rPr>
          <w:rFonts w:ascii="Century Gothic" w:hAnsi="Century Gothic" w:eastAsia="Times New Roman" w:cs="Times New Roman"/>
          <w:kern w:val="0"/>
          <w:lang w:val="ca-ES" w:eastAsia="es-ES"/>
          <w14:ligatures w14:val="none"/>
        </w:rPr>
      </w:pPr>
      <w:r>
        <w:rPr>
          <w:rFonts w:eastAsia="Times New Roman" w:cs="Times New Roman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Times New Roman"/>
          <w:kern w:val="0"/>
          <w:lang w:val="ca-ES" w:eastAsia="es-ES"/>
          <w14:ligatures w14:val="none"/>
        </w:rPr>
      </w:pPr>
      <w:r>
        <w:rPr>
          <w:rFonts w:eastAsia="Times New Roman" w:cs="Times New Roman" w:ascii="Century Gothic" w:hAnsi="Century Gothic"/>
          <w:kern w:val="0"/>
          <w:lang w:val="ca-ES" w:eastAsia="es-ES"/>
          <w14:ligatures w14:val="none"/>
        </w:rPr>
      </w:r>
      <w:bookmarkStart w:id="2" w:name="_Hlk170895041"/>
      <w:bookmarkStart w:id="3" w:name="_Hlk170895041"/>
      <w:bookmarkEnd w:id="3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0" w:after="0"/>
        <w:jc w:val="center"/>
        <w:rPr>
          <w:rFonts w:ascii="Century Gothic" w:hAnsi="Century Gothic" w:eastAsia="Times New Roman" w:cs="Times New Roman"/>
          <w:kern w:val="0"/>
          <w:lang w:val="ca-ES" w:eastAsia="es-ES"/>
          <w14:ligatures w14:val="none"/>
        </w:rPr>
      </w:pPr>
      <w:r>
        <w:rPr>
          <w:rFonts w:eastAsia="Times New Roman" w:cs="Times New Roman" w:ascii="Century Gothic" w:hAnsi="Century Gothic"/>
          <w:kern w:val="0"/>
          <w:lang w:val="ca-ES" w:eastAsia="es-ES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99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693"/>
      <w:gridCol w:w="2303"/>
      <w:gridCol w:w="1125"/>
      <w:gridCol w:w="1013"/>
      <w:gridCol w:w="1980"/>
      <w:gridCol w:w="573"/>
      <w:gridCol w:w="1264"/>
      <w:gridCol w:w="746"/>
    </w:tblGrid>
    <w:tr>
      <w:trPr>
        <w:trHeight w:val="294" w:hRule="atLeast"/>
        <w:cantSplit w:val="true"/>
      </w:trPr>
      <w:tc>
        <w:tcPr>
          <w:tcW w:w="69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/>
            <w:drawing>
              <wp:inline distT="0" distB="0" distL="0" distR="0">
                <wp:extent cx="279400" cy="3175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00" cy="31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>
          <w:pPr>
            <w:pStyle w:val="Peudepgina"/>
            <w:widowControl w:val="false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Departament d’Educació</w:t>
          </w:r>
        </w:p>
        <w:p>
          <w:pPr>
            <w:pStyle w:val="Peudepgina"/>
            <w:widowControl w:val="false"/>
            <w:rPr>
              <w:rFonts w:ascii="Arial" w:hAnsi="Arial" w:cs="Arial"/>
              <w:b/>
              <w:b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25/06/2024</w:t>
          </w:r>
        </w:p>
      </w:tc>
      <w:tc>
        <w:tcPr>
          <w:tcW w:w="101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7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Model criteris qualificació ESO</w:t>
          </w:r>
        </w:p>
      </w:tc>
      <w:tc>
        <w:tcPr>
          <w:tcW w:w="746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fldChar w:fldCharType="begin"/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instrText> PAGE </w:instrText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fldChar w:fldCharType="separate"/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t>4</w:t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fldChar w:fldCharType="end"/>
          </w: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 xml:space="preserve"> </w:t>
          </w: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 xml:space="preserve">de </w:t>
          </w: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fldChar w:fldCharType="begin"/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instrText> NUMPAGES </w:instrText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fldChar w:fldCharType="separate"/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t>4</w:t>
          </w:r>
          <w:r>
            <w:rPr>
              <w:sz w:val="16"/>
              <w:szCs w:val="16"/>
              <w:rFonts w:cs="Arial" w:ascii="Arial" w:hAnsi="Arial"/>
              <w:color w:val="808080"/>
              <w:lang w:val="ca-ES"/>
            </w:rPr>
            <w:fldChar w:fldCharType="end"/>
          </w:r>
        </w:p>
      </w:tc>
    </w:tr>
    <w:tr>
      <w:trPr>
        <w:trHeight w:val="294" w:hRule="atLeast"/>
        <w:cantSplit w:val="true"/>
      </w:trPr>
      <w:tc>
        <w:tcPr>
          <w:tcW w:w="69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>
              <w:rFonts w:cs="Arial" w:ascii="Arial" w:hAnsi="Arial"/>
              <w:sz w:val="16"/>
              <w:szCs w:val="16"/>
              <w:lang w:val="ca-ES"/>
            </w:rPr>
          </w:r>
        </w:p>
      </w:tc>
      <w:tc>
        <w:tcPr>
          <w:tcW w:w="230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>
              <w:rFonts w:cs="Arial" w:ascii="Arial" w:hAnsi="Arial"/>
              <w:sz w:val="16"/>
              <w:szCs w:val="16"/>
              <w:lang w:val="ca-ES"/>
            </w:rPr>
          </w:r>
        </w:p>
      </w:tc>
      <w:tc>
        <w:tcPr>
          <w:tcW w:w="112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versió  1</w:t>
          </w:r>
        </w:p>
      </w:tc>
      <w:tc>
        <w:tcPr>
          <w:tcW w:w="101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98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 xml:space="preserve">Coordinació pedagògica </w:t>
          </w:r>
        </w:p>
      </w:tc>
      <w:tc>
        <w:tcPr>
          <w:tcW w:w="57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6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cs="Arial" w:ascii="Arial" w:hAnsi="Arial"/>
              <w:color w:val="808080"/>
              <w:sz w:val="16"/>
              <w:szCs w:val="16"/>
              <w:lang w:val="ca-ES"/>
            </w:rPr>
            <w:t>MO-PRO087</w:t>
          </w:r>
        </w:p>
      </w:tc>
      <w:tc>
        <w:tcPr>
          <w:tcW w:w="746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Peudepgina"/>
            <w:widowControl w:val="false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>
              <w:rFonts w:cs="Arial" w:ascii="Arial" w:hAnsi="Arial"/>
              <w:sz w:val="16"/>
              <w:szCs w:val="16"/>
              <w:lang w:val="ca-ES"/>
            </w:rPr>
          </w:r>
        </w:p>
      </w:tc>
    </w:tr>
  </w:tbl>
  <w:p>
    <w:pPr>
      <w:pStyle w:val="Peu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180" w:type="dxa"/>
      <w:jc w:val="left"/>
      <w:tblInd w:w="7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3060"/>
      <w:gridCol w:w="1798"/>
      <w:gridCol w:w="4322"/>
    </w:tblGrid>
    <w:tr>
      <w:trPr>
        <w:trHeight w:val="537" w:hRule="atLeast"/>
      </w:trPr>
      <w:tc>
        <w:tcPr>
          <w:tcW w:w="3060" w:type="dxa"/>
          <w:vMerge w:val="restart"/>
          <w:tcBorders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left" w:pos="567" w:leader="none"/>
            </w:tabs>
            <w:spacing w:lineRule="exact" w:line="240" w:before="0" w:after="160"/>
            <w:rPr>
              <w:color w:val="333333"/>
            </w:rPr>
          </w:pPr>
          <w:r>
            <w:rPr>
              <w:color w:val="333333"/>
            </w:rPr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1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tcBorders/>
          <w:vAlign w:val="center"/>
        </w:tcPr>
        <w:p>
          <w:pPr>
            <w:pStyle w:val="Encapalament1"/>
            <w:widowControl w:val="false"/>
            <w:spacing w:before="0" w:after="0"/>
            <w:jc w:val="center"/>
            <w:rPr>
              <w:rFonts w:ascii="Century Gothic" w:hAnsi="Century Gothic" w:cs="Times New Roman"/>
              <w:bCs w:val="false"/>
              <w:color w:val="333333"/>
              <w:kern w:val="0"/>
              <w:sz w:val="20"/>
              <w:szCs w:val="20"/>
            </w:rPr>
          </w:pPr>
          <w:r>
            <w:rPr>
              <w:rFonts w:cs="Times New Roman" w:ascii="Century Gothic" w:hAnsi="Century Gothic"/>
              <w:bCs w:val="false"/>
              <w:color w:val="333333"/>
              <w:kern w:val="0"/>
              <w:sz w:val="20"/>
              <w:szCs w:val="20"/>
            </w:rPr>
            <w:t xml:space="preserve">          </w:t>
          </w:r>
          <w:r>
            <w:rPr>
              <w:rFonts w:cs="Times New Roman" w:ascii="Century Gothic" w:hAnsi="Century Gothic"/>
              <w:bCs w:val="false"/>
              <w:color w:val="333333"/>
              <w:kern w:val="0"/>
              <w:sz w:val="20"/>
              <w:szCs w:val="20"/>
            </w:rPr>
            <w:t>CRITERIS DE QUALIFICACIÓ ESO</w:t>
          </w:r>
        </w:p>
      </w:tc>
    </w:tr>
    <w:tr>
      <w:trPr>
        <w:trHeight w:val="253" w:hRule="atLeast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left" w:pos="567" w:leader="none"/>
            </w:tabs>
            <w:spacing w:lineRule="exact" w:line="240" w:before="0" w:after="160"/>
            <w:rPr>
              <w:color w:val="333333"/>
              <w:lang w:eastAsia="es-ES_tradnl"/>
            </w:rPr>
          </w:pPr>
          <w:r>
            <w:rPr>
              <w:color w:val="333333"/>
              <w:lang w:eastAsia="es-ES_tradnl"/>
            </w:rPr>
          </w:r>
        </w:p>
      </w:tc>
      <w:tc>
        <w:tcPr>
          <w:tcW w:w="179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pacing w:before="0" w:after="160"/>
            <w:rPr>
              <w:rFonts w:ascii="Century Gothic" w:hAnsi="Century Gothic" w:cs="Arial"/>
              <w:color w:val="333333"/>
              <w:sz w:val="18"/>
              <w:szCs w:val="18"/>
            </w:rPr>
          </w:pPr>
          <w:r>
            <w:rPr>
              <w:rFonts w:cs="Arial" w:ascii="Century Gothic" w:hAnsi="Century Gothic"/>
              <w:color w:val="333333"/>
              <w:sz w:val="18"/>
              <w:szCs w:val="18"/>
            </w:rPr>
            <w:t>Matèria</w:t>
          </w:r>
        </w:p>
      </w:tc>
      <w:tc>
        <w:tcPr>
          <w:tcW w:w="4322" w:type="dxa"/>
          <w:tcBorders/>
          <w:vAlign w:val="center"/>
        </w:tcPr>
        <w:p>
          <w:pPr>
            <w:pStyle w:val="Normal"/>
            <w:widowControl w:val="false"/>
            <w:spacing w:before="0" w:after="160"/>
            <w:rPr>
              <w:rFonts w:ascii="Century Gothic" w:hAnsi="Century Gothic" w:cs="Arial"/>
              <w:color w:val="333333"/>
              <w:sz w:val="18"/>
              <w:szCs w:val="18"/>
              <w:lang w:val="ca-ES"/>
            </w:rPr>
          </w:pPr>
          <w:r>
            <w:rPr>
              <w:rFonts w:cs="Arial" w:ascii="Century Gothic" w:hAnsi="Century Gothic"/>
              <w:color w:val="333333"/>
              <w:sz w:val="18"/>
              <w:szCs w:val="18"/>
              <w:lang w:val="ca-ES"/>
            </w:rPr>
            <w:t>Llengua Estrangera (anglès)</w:t>
          </w:r>
        </w:p>
      </w:tc>
    </w:tr>
    <w:tr>
      <w:trPr>
        <w:trHeight w:val="403" w:hRule="atLeast"/>
      </w:trPr>
      <w:tc>
        <w:tcPr>
          <w:tcW w:w="3060" w:type="dxa"/>
          <w:vMerge w:val="continue"/>
          <w:tcBorders>
            <w:bottom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left" w:pos="567" w:leader="none"/>
            </w:tabs>
            <w:spacing w:lineRule="exact" w:line="240" w:before="0" w:after="160"/>
            <w:rPr>
              <w:rFonts w:cs="Arial"/>
              <w:color w:val="333333"/>
            </w:rPr>
          </w:pPr>
          <w:r>
            <w:rPr>
              <w:rFonts w:cs="Arial"/>
              <w:color w:val="333333"/>
            </w:rPr>
          </w:r>
        </w:p>
      </w:tc>
      <w:tc>
        <w:tcPr>
          <w:tcW w:w="1798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pacing w:before="0" w:after="160"/>
            <w:rPr>
              <w:rFonts w:ascii="Century Gothic" w:hAnsi="Century Gothic"/>
              <w:color w:val="333333"/>
              <w:sz w:val="18"/>
              <w:szCs w:val="18"/>
            </w:rPr>
          </w:pPr>
          <w:r>
            <w:rPr>
              <w:rFonts w:cs="Arial" w:ascii="Century Gothic" w:hAnsi="Century Gothic"/>
              <w:color w:val="333333"/>
              <w:sz w:val="18"/>
              <w:szCs w:val="18"/>
            </w:rPr>
            <w:t>Curs</w:t>
          </w:r>
        </w:p>
      </w:tc>
      <w:tc>
        <w:tcPr>
          <w:tcW w:w="4322" w:type="dxa"/>
          <w:tcBorders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spacing w:before="0" w:after="160"/>
            <w:rPr>
              <w:rFonts w:ascii="Century Gothic" w:hAnsi="Century Gothic"/>
              <w:color w:val="333333"/>
              <w:sz w:val="18"/>
              <w:szCs w:val="18"/>
              <w:lang w:val="en-GB"/>
            </w:rPr>
          </w:pPr>
          <w:r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>4t</w:t>
          </w:r>
          <w:r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 xml:space="preserve"> </w:t>
          </w:r>
        </w:p>
      </w:tc>
    </w:tr>
  </w:tbl>
  <w:p>
    <w:pPr>
      <w:pStyle w:val="Capalera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Encapalament1">
    <w:name w:val="Heading 1"/>
    <w:basedOn w:val="Normal"/>
    <w:next w:val="Normal"/>
    <w:link w:val="Ttol1Car"/>
    <w:qFormat/>
    <w:rsid w:val="00f072d9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val="ca-ES" w:eastAsia="ca-ES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link w:val="Ttol1"/>
    <w:qFormat/>
    <w:rsid w:val="00f072d9"/>
    <w:rPr>
      <w:rFonts w:ascii="Arial" w:hAnsi="Arial" w:eastAsia="Times New Roman" w:cs="Arial"/>
      <w:b/>
      <w:bCs/>
      <w:kern w:val="2"/>
      <w:sz w:val="32"/>
      <w:szCs w:val="32"/>
      <w:lang w:val="ca-ES" w:eastAsia="ca-ES"/>
      <w14:ligatures w14:val="none"/>
    </w:rPr>
  </w:style>
  <w:style w:type="character" w:styleId="CapaleraCar" w:customStyle="1">
    <w:name w:val="Capçalera Car"/>
    <w:basedOn w:val="DefaultParagraphFont"/>
    <w:link w:val="Capalera"/>
    <w:qFormat/>
    <w:rsid w:val="00f072d9"/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character" w:styleId="PeuCar" w:customStyle="1">
    <w:name w:val="Peu Car"/>
    <w:basedOn w:val="DefaultParagraphFont"/>
    <w:link w:val="Peu"/>
    <w:qFormat/>
    <w:rsid w:val="00f072d9"/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CapaleraCar"/>
    <w:rsid w:val="00f072d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paragraph" w:styleId="Peudepgina">
    <w:name w:val="Footer"/>
    <w:basedOn w:val="Normal"/>
    <w:link w:val="PeuCar"/>
    <w:rsid w:val="00f072d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paragraph" w:styleId="ListParagraph">
    <w:name w:val="List Paragraph"/>
    <w:basedOn w:val="Normal"/>
    <w:uiPriority w:val="34"/>
    <w:qFormat/>
    <w:rsid w:val="005c432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LibreOffice/7.0.6.2$Windows_X86_64 LibreOffice_project/144abb84a525d8e30c9dbbefa69cbbf2d8d4ae3b</Application>
  <AppVersion>15.0000</AppVersion>
  <Pages>4</Pages>
  <Words>1289</Words>
  <Characters>7278</Characters>
  <CharactersWithSpaces>8481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2024-07-03T09:31:00Z</dcterms:created>
  <dc:creator>Usuari</dc:creator>
  <dc:description/>
  <dc:language>ca-ES</dc:language>
  <cp:lastModifiedBy/>
  <cp:lastPrinted>2024-07-15T09:06:00Z</cp:lastPrinted>
  <dcterms:modified xsi:type="dcterms:W3CDTF">2025-09-07T12:29:21Z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