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87"/>
        <w:gridCol w:w="1263"/>
        <w:tblGridChange w:id="0">
          <w:tblGrid>
            <w:gridCol w:w="8587"/>
            <w:gridCol w:w="126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Buscar, analitzar i seleccionar la informació adequada, de manera crítica i segura, tot aplicant processos de recerca, mètodes d’anàlisi de productes i experimentant amb eines de simulació, per delimitar problemes tecnològics i proposar solucions a partir de la informació obtinguda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2n - 3r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Planificar, dissenyar i desenvolupar solucions a problemes tecnològics amb autonomia i actitud creativa, tot aplicant el procés tecnològic, coneixements interdisciplinaris i treballant de manera ordenada i cooperativa, per resoldre problemes o necessitats de manera eficaç, innovadora i sostenible.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2n - 3r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Aplicar de manera apropiada diferents tècniques i coneixements interdisciplinaris, tot utilitzant operadors, sistemes tecnològics i eines, seguint la planificació i el disseny sostenible previ per construir solucions tecnològiques que donin resposta a necessitats en diferents contextos.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2n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Descriure, representar i intercanviar idees o solucions a problemes tecnològics o digitals, utilitzant els mitjans de representació, simbologia i vocabulari adequats, així com els instruments i els recursos disponibles, utilitzant les eines digitals per argumentar, comunicar i difondre informació.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2n - 3r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Desenvolupar algorismes i aplicacions informàtiques en diferents entorns, tot aplicant els principis del pensament computacional i incorporant les tecnologies emergents, per resoldre problemes concrets, automatitzar processos i aplicar-los en sistemes de control o robòtica.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3r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Utilitzar els fonaments del funcionament dels dispositius i de les aplicacions habituals de l’entorn digital d’aprenentatge, analitzant-ne els components i les funcions i ajustant-los a les necessitats per fer-ne un ús més eficient i segur, per detectar i resoldre problemes tècnics senzills.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2n - 3r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7.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Fer ús ètic, sostenible i ecosocialment responsable de la tecnologia, identificant les repercussions i les aportacions, per valorar l’impacte del desenvolupament tecnològic a la societat i a l’entorn.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2n - 3r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Proves escrites (quan el professor ho consideri)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Desenvolupament dels projectes i/o pràctiques de taller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Tasques a casa (quan el professor ho consideri)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40%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40%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10%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Revisió del material (llibretes, llibres, portàtils, material de taller…) i observació del professor a l’aula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0" w:firstLine="0"/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0" w:firstLine="0"/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Observació del professor a l’aula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</w:tc>
      </w:tr>
    </w:tbl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4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 lliurar tasques encomanades pel professor o superar algun tipus de prova escrita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4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5C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5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6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62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7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7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7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7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8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8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8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8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66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-809623</wp:posOffset>
                </wp:positionH>
                <wp:positionV relativeFrom="paragraph">
                  <wp:posOffset>-1902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67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Tecnologia i Digitalització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highlight w:val="yellow"/>
              <w:vertAlign w:val="baseline"/>
              <w:rtl w:val="0"/>
            </w:rPr>
            <w:t xml:space="preserve">XXX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toJoEDGThEPpqNmFVJmzYscHQ==">CgMxLjA4AHIhMUZUOHhjOUxpQTNkdW5wcHY0NlBoSHlKNU16aTR0elFy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2024-06-11T17:05:00Z</dcterms:created>
  <dc:creator>j&amp;n</dc:creator>
</cp:coreProperties>
</file>