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>
          <w:rFonts w:ascii="Century Gothic" w:hAnsi="Century Gothic" w:eastAsia="Century Gothic" w:cs="Century Gothic"/>
          <w:b w:val="false"/>
          <w:b w:val="false"/>
          <w:color w:val="00B0F0"/>
          <w:position w:val="0"/>
          <w:sz w:val="28"/>
          <w:sz w:val="28"/>
          <w:szCs w:val="28"/>
          <w:vertAlign w:val="baseline"/>
        </w:rPr>
      </w:pPr>
      <w:r>
        <w:rPr>
          <w:rFonts w:eastAsia="Century Gothic" w:cs="Century Gothic" w:ascii="Century Gothic" w:hAnsi="Century Gothic"/>
          <w:b w:val="false"/>
          <w:color w:val="00B0F0"/>
          <w:position w:val="0"/>
          <w:sz w:val="28"/>
          <w:sz w:val="28"/>
          <w:szCs w:val="28"/>
          <w:vertAlign w:val="baseline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>
          <w:rFonts w:ascii="Century Gothic" w:hAnsi="Century Gothic" w:eastAsia="Century Gothic" w:cs="Century Gothic"/>
          <w:b w:val="false"/>
          <w:b w:val="false"/>
          <w:color w:val="70AD47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b/>
          <w:color w:val="70AD47"/>
          <w:position w:val="0"/>
          <w:sz w:val="22"/>
          <w:sz w:val="22"/>
          <w:szCs w:val="22"/>
          <w:vertAlign w:val="baseline"/>
        </w:rPr>
        <w:t>AVALUACIÓ ORDINÀRIA</w:t>
      </w:r>
    </w:p>
    <w:p>
      <w:pPr>
        <w:pStyle w:val="Normal1"/>
        <w:keepNext w:val="tru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240" w:after="60"/>
        <w:ind w:left="0" w:right="0" w:hanging="0"/>
        <w:jc w:val="left"/>
        <w:rPr>
          <w:rFonts w:ascii="Century Gothic" w:hAnsi="Century Gothic" w:eastAsia="Century Gothic" w:cs="Century Gothic"/>
          <w:b/>
          <w:b/>
          <w:i w:val="false"/>
          <w:i w:val="false"/>
          <w:caps w:val="false"/>
          <w:smallCaps w:val="false"/>
          <w:strike w:val="false"/>
          <w:dstrike w:val="false"/>
          <w:color w:val="00B0F0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b/>
          <w:i w:val="false"/>
          <w:caps w:val="false"/>
          <w:smallCaps w:val="false"/>
          <w:strike w:val="false"/>
          <w:dstrike w:val="false"/>
          <w:color w:val="00B0F0"/>
          <w:position w:val="0"/>
          <w:sz w:val="22"/>
          <w:sz w:val="22"/>
          <w:szCs w:val="22"/>
          <w:u w:val="none"/>
          <w:shd w:fill="auto" w:val="clear"/>
          <w:vertAlign w:val="baseline"/>
        </w:rPr>
        <w:t>Nota trimestral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  <w:t xml:space="preserve">La nota final de la convocatòria trimestral s’obté a partir de les notes obtingudes en el treball de les competències específiques de la matèria seleccionades a continuació. </w:t>
      </w:r>
    </w:p>
    <w:p>
      <w:pPr>
        <w:pStyle w:val="Normal1"/>
        <w:jc w:val="both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both"/>
        <w:rPr>
          <w:rFonts w:ascii="Century Gothic" w:hAnsi="Century Gothic" w:eastAsia="Century Gothic" w:cs="Century Gothic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  <w:t xml:space="preserve">De caràcter general, els instruments d’avaluació seran diferents, preveuran </w:t>
      </w:r>
      <w:r>
        <w:rPr>
          <w:rFonts w:eastAsia="Century Gothic" w:cs="Century Gothic" w:ascii="Century Gothic" w:hAnsi="Century Gothic"/>
          <w:color w:val="222222"/>
          <w:position w:val="0"/>
          <w:sz w:val="22"/>
          <w:sz w:val="22"/>
          <w:szCs w:val="22"/>
          <w:highlight w:val="white"/>
          <w:vertAlign w:val="baseline"/>
        </w:rPr>
        <w:t>l'autoavaluació i la co-avaluació d’alumnat i garantiran un seguiment continu de cada alumne/a al llarg del procés d'aprenentatge.</w:t>
      </w:r>
    </w:p>
    <w:p>
      <w:pPr>
        <w:pStyle w:val="Normal1"/>
        <w:jc w:val="both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tbl>
      <w:tblPr>
        <w:tblStyle w:val="Table1"/>
        <w:tblW w:w="985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587"/>
        <w:gridCol w:w="1262"/>
      </w:tblGrid>
      <w:tr>
        <w:trPr>
          <w:trHeight w:val="807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center"/>
              <w:rPr>
                <w:rFonts w:ascii="Century Gothic" w:hAnsi="Century Gothic" w:eastAsia="Century Gothic" w:cs="Century Gothic"/>
                <w:b w:val="false"/>
                <w:b w:val="false"/>
                <w:color w:val="FFFFFF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FFFFFF"/>
                <w:position w:val="0"/>
                <w:sz w:val="22"/>
                <w:sz w:val="22"/>
                <w:szCs w:val="22"/>
                <w:vertAlign w:val="baseline"/>
              </w:rPr>
              <w:t xml:space="preserve">COMPETÈNCIES ESPECÍFIQUES MATÈRIA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center"/>
              <w:rPr>
                <w:rFonts w:ascii="Century Gothic" w:hAnsi="Century Gothic" w:eastAsia="Century Gothic" w:cs="Century Gothic"/>
                <w:b w:val="false"/>
                <w:b w:val="false"/>
                <w:color w:val="FFFFFF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FFFFFF"/>
                <w:position w:val="0"/>
                <w:sz w:val="22"/>
                <w:sz w:val="22"/>
                <w:szCs w:val="22"/>
                <w:vertAlign w:val="baseline"/>
              </w:rPr>
              <w:t>SELECCIÓ</w:t>
            </w:r>
          </w:p>
        </w:tc>
      </w:tr>
      <w:tr>
        <w:trPr>
          <w:trHeight w:val="907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left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24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Competència específica 1.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entury Gothic" w:cs="Century Gothic" w:ascii="Century Gothic" w:hAnsi="Century Gothic"/>
                <w:b w:val="false"/>
                <w:i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Descobrir les manifestacions artístiques contemporànies i del patrimoni cultural, interessant-se per la realitat patrimonial com a part de la pròpia cultura, per reconèixer-les com a testimoni del pensament i com a font d’aprenentatge, prenent consciència de la necessitat de conservar-les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center"/>
              <w:rPr>
                <w:rFonts w:ascii="Century Gothic" w:hAnsi="Century Gothic" w:eastAsia="Century Gothic" w:cs="Century Gothic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X</w:t>
            </w:r>
          </w:p>
        </w:tc>
      </w:tr>
      <w:tr>
        <w:trPr>
          <w:trHeight w:val="693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left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Competència específica 2. </w:t>
            </w:r>
            <w:r>
              <w:rPr>
                <w:rFonts w:eastAsia="Century Gothic" w:cs="Century Gothic" w:ascii="Century Gothic" w:hAnsi="Century Gothic"/>
                <w:b w:val="false"/>
                <w:i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Analitzar produccions artístiques, pròpies i alienes, argumentant opinions amb respecte i sentit crític, per construir una cultura artística àmplia, gaudir i generar nous coneixements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center"/>
              <w:rPr>
                <w:rFonts w:ascii="Century Gothic" w:hAnsi="Century Gothic" w:eastAsia="Century Gothic" w:cs="Century Gothic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X</w:t>
            </w:r>
          </w:p>
        </w:tc>
      </w:tr>
      <w:tr>
        <w:trPr>
          <w:trHeight w:val="402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Competència específica 3. </w:t>
            </w:r>
            <w:r>
              <w:rPr>
                <w:rFonts w:eastAsia="Century Gothic" w:cs="Century Gothic" w:ascii="Century Gothic" w:hAnsi="Century Gothic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Representar idees, formes i emocions, utilitzant els llenguatges, les tècniques i els mitjans propis de l’àmbit, a través de processos analítics i creatius, per desenvolupar la imaginació, la comunicació i l’autoconfiança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center"/>
              <w:rPr>
                <w:rFonts w:ascii="Century Gothic" w:hAnsi="Century Gothic" w:eastAsia="Century Gothic" w:cs="Century Gothic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X</w:t>
            </w:r>
          </w:p>
        </w:tc>
      </w:tr>
      <w:tr>
        <w:trPr>
          <w:trHeight w:val="402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Competència específica 4. </w:t>
            </w:r>
            <w:r>
              <w:rPr>
                <w:rFonts w:eastAsia="Century Gothic" w:cs="Century Gothic" w:ascii="Century Gothic" w:hAnsi="Century Gothic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Connectar idees i coneixements, aplicant-los, donant nous sentits, en projectes artístics de contextos diversos per fomentar una mirada creativamultidimensional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center"/>
              <w:rPr>
                <w:rFonts w:ascii="Century Gothic" w:hAnsi="Century Gothic" w:eastAsia="Century Gothic" w:cs="Century Gothic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X</w:t>
            </w:r>
          </w:p>
        </w:tc>
      </w:tr>
      <w:tr>
        <w:trPr>
          <w:trHeight w:val="402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Competència específica 5. </w:t>
            </w:r>
            <w:r>
              <w:rPr>
                <w:rFonts w:eastAsia="Century Gothic" w:cs="Century Gothic" w:ascii="Century Gothic" w:hAnsi="Century Gothic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Explorar tècniques, mitjans i recursos dels llenguatges artístics, a través de l’experimentació i la recerca, amb perseverància i entenent l’error com una oportunitat per aprendre, per aplicar-los en el disseny i la realització d’un projecte artístic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center"/>
              <w:rPr>
                <w:rFonts w:ascii="Century Gothic" w:hAnsi="Century Gothic" w:eastAsia="Century Gothic" w:cs="Century Gothic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X</w:t>
            </w:r>
          </w:p>
        </w:tc>
      </w:tr>
      <w:tr>
        <w:trPr>
          <w:trHeight w:val="402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24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Competència específica 6.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entury Gothic" w:cs="Century Gothic" w:ascii="Century Gothic" w:hAnsi="Century Gothic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Realitzar projectes, disciplinaris o transdisciplinaris, personals o col·lectius, a partir de situacions i establint connexions amb la realitat propera, amb implicació i compromís, per comunicar, reflexionar i resoldre problemes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50"/>
              <w:ind w:left="0" w:right="0" w:hanging="0"/>
              <w:jc w:val="center"/>
              <w:rPr>
                <w:rFonts w:ascii="Century Gothic" w:hAnsi="Century Gothic" w:eastAsia="Century Gothic" w:cs="Century Gothic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X</w:t>
            </w:r>
          </w:p>
        </w:tc>
      </w:tr>
    </w:tbl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tbl>
      <w:tblPr>
        <w:tblStyle w:val="Table2"/>
        <w:tblW w:w="106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26"/>
        <w:gridCol w:w="4097"/>
        <w:gridCol w:w="1942"/>
      </w:tblGrid>
      <w:tr>
        <w:trPr>
          <w:trHeight w:val="718" w:hRule="atLeast"/>
        </w:trPr>
        <w:tc>
          <w:tcPr>
            <w:tcW w:w="462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center"/>
              <w:rPr>
                <w:rFonts w:ascii="Century Gothic" w:hAnsi="Century Gothic" w:eastAsia="Century Gothic" w:cs="Century Gothic"/>
                <w:b w:val="false"/>
                <w:b w:val="false"/>
                <w:color w:val="FFFFFF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 w:val="false"/>
                <w:color w:val="FFFFFF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center"/>
              <w:rPr>
                <w:rFonts w:ascii="Century Gothic" w:hAnsi="Century Gothic" w:eastAsia="Century Gothic" w:cs="Century Gothic"/>
                <w:b w:val="false"/>
                <w:b w:val="false"/>
                <w:color w:val="FFFFFF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FFFFFF"/>
                <w:position w:val="0"/>
                <w:sz w:val="22"/>
                <w:sz w:val="22"/>
                <w:szCs w:val="22"/>
                <w:vertAlign w:val="baseline"/>
              </w:rPr>
              <w:t>INSTRUMENTS D’AVALUACIÓ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center"/>
              <w:rPr>
                <w:rFonts w:ascii="Century Gothic" w:hAnsi="Century Gothic" w:eastAsia="Century Gothic" w:cs="Century Gothic"/>
                <w:b w:val="false"/>
                <w:b w:val="false"/>
                <w:color w:val="FFFFFF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FFFFFF"/>
                <w:position w:val="0"/>
                <w:sz w:val="22"/>
                <w:sz w:val="22"/>
                <w:szCs w:val="22"/>
                <w:vertAlign w:val="baseline"/>
              </w:rPr>
              <w:t>PONDERACIONS</w:t>
            </w:r>
          </w:p>
        </w:tc>
      </w:tr>
      <w:tr>
        <w:trPr>
          <w:trHeight w:val="711" w:hRule="atLeast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position w:val="0"/>
                <w:sz w:val="20"/>
                <w:sz w:val="20"/>
                <w:szCs w:val="20"/>
                <w:vertAlign w:val="baseline"/>
              </w:rPr>
              <w:t>COMPETÈNCIES específiques de matèria treballades  aquest curs/nivell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ind w:left="720" w:hanging="360"/>
              <w:jc w:val="both"/>
              <w:rPr>
                <w:rFonts w:ascii="Century Gothic" w:hAnsi="Century Gothic" w:eastAsia="Century Gothic" w:cs="Century Gothic"/>
                <w:sz w:val="22"/>
                <w:szCs w:val="22"/>
                <w:u w:val="none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Portafoli artístic.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ind w:left="720" w:hanging="360"/>
              <w:jc w:val="both"/>
              <w:rPr>
                <w:rFonts w:ascii="Century Gothic" w:hAnsi="Century Gothic" w:eastAsia="Century Gothic" w:cs="Century Gothic"/>
                <w:sz w:val="22"/>
                <w:szCs w:val="22"/>
                <w:u w:val="none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Autoavaluació (KPSI, escala de la metacognició…).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ind w:left="720" w:hanging="360"/>
              <w:jc w:val="both"/>
              <w:rPr>
                <w:rFonts w:ascii="Century Gothic" w:hAnsi="Century Gothic" w:eastAsia="Century Gothic" w:cs="Century Gothic"/>
                <w:sz w:val="22"/>
                <w:szCs w:val="22"/>
                <w:u w:val="none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Coavaluació (diana d’aprenentatge, check list…).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7</w:t>
            </w: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0%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5%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5%</w:t>
            </w:r>
          </w:p>
        </w:tc>
      </w:tr>
      <w:tr>
        <w:trPr>
          <w:trHeight w:val="802" w:hRule="atLeast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position w:val="0"/>
                <w:sz w:val="20"/>
                <w:sz w:val="20"/>
                <w:szCs w:val="20"/>
                <w:vertAlign w:val="baseline"/>
              </w:rPr>
              <w:t>COMPETÈNCIES comunes a totes les matèries: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tabs>
                <w:tab w:val="left" w:pos="720" w:leader="none"/>
              </w:tabs>
              <w:ind w:left="720" w:hanging="360"/>
              <w:jc w:val="both"/>
              <w:rPr>
                <w:rFonts w:ascii="Century Gothic" w:hAnsi="Century Gothic" w:eastAsia="Century Gothic" w:cs="Century Gothic"/>
                <w:i w:val="false"/>
                <w:i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/>
                <w:position w:val="0"/>
                <w:sz w:val="20"/>
                <w:sz w:val="20"/>
                <w:szCs w:val="20"/>
                <w:vertAlign w:val="baseline"/>
              </w:rPr>
              <w:t>Respecte envers el professor/a, els companys, si mateix i el seu entorn i compliment de les normes de convivència i dels deures dels alumnes contemplats en les Normes de Funcionament del Centre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ind w:left="720" w:hanging="360"/>
              <w:jc w:val="both"/>
              <w:rPr>
                <w:rFonts w:ascii="Century Gothic" w:hAnsi="Century Gothic" w:eastAsia="Century Gothic" w:cs="Century Gothic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/>
                <w:position w:val="0"/>
                <w:sz w:val="20"/>
                <w:sz w:val="20"/>
                <w:szCs w:val="20"/>
                <w:vertAlign w:val="baseline"/>
              </w:rPr>
              <w:t>Esperit de superació, esforç i treball demostrat diàriament tant a casa com a l’aula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ind w:left="720" w:hanging="360"/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Diari d’aula (observació directa).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2</w:t>
            </w: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0%</w:t>
            </w:r>
          </w:p>
        </w:tc>
      </w:tr>
    </w:tbl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i w:val="false"/>
          <w:i w:val="false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 w:val="false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b w:val="false"/>
          <w:b w:val="false"/>
          <w:color w:val="00B0F0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b/>
          <w:color w:val="00B0F0"/>
          <w:position w:val="0"/>
          <w:sz w:val="22"/>
          <w:sz w:val="22"/>
          <w:szCs w:val="22"/>
          <w:vertAlign w:val="baseline"/>
        </w:rPr>
        <w:t>Observacions rellevants del instruments d’avaluació emprats.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i w:val="false"/>
          <w:i w:val="false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 w:val="false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numPr>
          <w:ilvl w:val="0"/>
          <w:numId w:val="3"/>
        </w:numP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ind w:left="720" w:hanging="360"/>
        <w:jc w:val="both"/>
        <w:rPr>
          <w:rFonts w:ascii="Century Gothic" w:hAnsi="Century Gothic" w:eastAsia="Century Gothic" w:cs="Century Gothic"/>
          <w:sz w:val="22"/>
          <w:szCs w:val="22"/>
          <w:u w:val="none"/>
        </w:rPr>
      </w:pPr>
      <w:r>
        <w:rPr>
          <w:rFonts w:eastAsia="Century Gothic" w:cs="Century Gothic" w:ascii="Century Gothic" w:hAnsi="Century Gothic"/>
          <w:sz w:val="22"/>
          <w:szCs w:val="22"/>
        </w:rPr>
        <w:t>Per dur a terme la suma de les ponderacions, l’estudiant haurà de presentar un mínim d’un 80% de les tasques del portfoli artístic.</w:t>
      </w:r>
    </w:p>
    <w:p>
      <w:pPr>
        <w:pStyle w:val="Normal1"/>
        <w:numPr>
          <w:ilvl w:val="0"/>
          <w:numId w:val="4"/>
        </w:numP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ind w:left="720" w:hanging="360"/>
        <w:jc w:val="both"/>
        <w:rPr>
          <w:rFonts w:ascii="Century Gothic" w:hAnsi="Century Gothic" w:eastAsia="Century Gothic" w:cs="Century Gothic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  <w:t>Per aprovar el trimestre caldrà haver superat ≥50% la suma de les dimensions.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b w:val="false"/>
          <w:b w:val="false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b w:val="false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b w:val="false"/>
          <w:b w:val="false"/>
          <w:color w:val="00B0F0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b/>
          <w:color w:val="00B0F0"/>
          <w:position w:val="0"/>
          <w:sz w:val="22"/>
          <w:sz w:val="22"/>
          <w:szCs w:val="22"/>
          <w:vertAlign w:val="baseline"/>
        </w:rPr>
        <w:t xml:space="preserve">Justificació d’absència el dia d’una prova o examen. 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eastAsia="Century Gothic" w:cs="Century Gothic" w:ascii="Century Gothic" w:hAnsi="Century Gothic"/>
          <w:sz w:val="22"/>
          <w:szCs w:val="22"/>
        </w:rPr>
        <w:t>Si l’alumne no assisteix a classe el dia de la prova o examen, haurà de justificar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eastAsia="Century Gothic" w:cs="Century Gothic" w:ascii="Century Gothic" w:hAnsi="Century Gothic"/>
          <w:sz w:val="22"/>
          <w:szCs w:val="22"/>
        </w:rPr>
        <w:t>documentalment la seva absència al professor afectat i tutor/a per tenir dret a fer-lo en un altre moment.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eastAsia="Century Gothic" w:cs="Century Gothic" w:ascii="Century Gothic" w:hAnsi="Century Gothic"/>
          <w:sz w:val="22"/>
          <w:szCs w:val="22"/>
        </w:rPr>
        <w:t>A llarg d’un mateix curs, només es pot faltar 2 vegades a un examen sense justificant del metge. A partir de la tercera vegada, sí caldrà un justificant mèdic.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eastAsia="Century Gothic" w:cs="Century Gothic" w:ascii="Century Gothic" w:hAnsi="Century Gothic"/>
          <w:sz w:val="22"/>
          <w:szCs w:val="22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widowControl w:val="false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b w:val="false"/>
          <w:b w:val="false"/>
          <w:color w:val="00B0F0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b/>
          <w:color w:val="00B0F0"/>
          <w:position w:val="0"/>
          <w:sz w:val="22"/>
          <w:sz w:val="22"/>
          <w:szCs w:val="22"/>
          <w:vertAlign w:val="baseline"/>
        </w:rPr>
        <w:t>Activitats de recuperació trimestral</w:t>
      </w:r>
    </w:p>
    <w:p>
      <w:pPr>
        <w:pStyle w:val="Normal1"/>
        <w:widowControl w:val="false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b w:val="false"/>
          <w:b w:val="false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  <w:t>En cas de no superar el trimestre, l’alumne/-a haurà d</w:t>
      </w:r>
      <w:r>
        <w:rPr>
          <w:rFonts w:eastAsia="Century Gothic" w:cs="Century Gothic" w:ascii="Century Gothic" w:hAnsi="Century Gothic"/>
          <w:sz w:val="22"/>
          <w:szCs w:val="22"/>
        </w:rPr>
        <w:t>’entregar les tasques que tinguin una qualificació inferior al 5.</w:t>
      </w:r>
    </w:p>
    <w:p>
      <w:pPr>
        <w:pStyle w:val="Normal1"/>
        <w:keepNext w:val="tru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240" w:after="60"/>
        <w:ind w:left="0" w:right="0" w:hanging="0"/>
        <w:jc w:val="both"/>
        <w:rPr>
          <w:rFonts w:ascii="Century Gothic" w:hAnsi="Century Gothic" w:eastAsia="Century Gothic" w:cs="Century Gothic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tru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240" w:after="60"/>
        <w:ind w:left="0" w:right="0" w:hanging="0"/>
        <w:jc w:val="both"/>
        <w:rPr>
          <w:rFonts w:ascii="Century Gothic" w:hAnsi="Century Gothic" w:eastAsia="Century Gothic" w:cs="Century Gothic"/>
          <w:b/>
          <w:b/>
          <w:i w:val="false"/>
          <w:i w:val="false"/>
          <w:caps w:val="false"/>
          <w:smallCaps w:val="false"/>
          <w:strike w:val="false"/>
          <w:dstrike w:val="false"/>
          <w:color w:val="00B0F0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b/>
          <w:i w:val="false"/>
          <w:caps w:val="false"/>
          <w:smallCaps w:val="false"/>
          <w:strike w:val="false"/>
          <w:dstrike w:val="false"/>
          <w:color w:val="00B0F0"/>
          <w:position w:val="0"/>
          <w:sz w:val="22"/>
          <w:sz w:val="22"/>
          <w:szCs w:val="22"/>
          <w:u w:val="none"/>
          <w:shd w:fill="auto" w:val="clear"/>
          <w:vertAlign w:val="baseline"/>
        </w:rPr>
        <w:t>Nota final contínua (juny)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  <w:t>La nota de la final contínua s’obté a partir de les notes obtingudes en els diferents trimestres segons: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i w:val="false"/>
          <w:i w:val="false"/>
          <w:color w:val="00B050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 w:val="false"/>
          <w:color w:val="00B050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color w:val="434343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 xml:space="preserve">QF = </w:t>
      </w: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u w:val="single"/>
          <w:vertAlign w:val="baseline"/>
        </w:rPr>
        <w:t>QT1 + QT2  + QT3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color w:val="434343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>3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 w:val="false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>
          <w:rFonts w:ascii="Century Gothic" w:hAnsi="Century Gothic" w:eastAsia="Century Gothic" w:cs="Century Gothic"/>
          <w:i w:val="false"/>
          <w:i w:val="false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position w:val="0"/>
          <w:sz w:val="22"/>
          <w:sz w:val="22"/>
          <w:szCs w:val="22"/>
          <w:vertAlign w:val="baseline"/>
        </w:rPr>
        <w:t>QF = qualificació final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>
          <w:rFonts w:ascii="Century Gothic" w:hAnsi="Century Gothic" w:eastAsia="Century Gothic" w:cs="Century Gothic"/>
          <w:i w:val="false"/>
          <w:i w:val="false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position w:val="0"/>
          <w:sz w:val="22"/>
          <w:sz w:val="22"/>
          <w:szCs w:val="22"/>
          <w:vertAlign w:val="baseline"/>
        </w:rPr>
        <w:t>QT1 = qualificació del primer trimestre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>
          <w:rFonts w:ascii="Century Gothic" w:hAnsi="Century Gothic" w:eastAsia="Century Gothic" w:cs="Century Gothic"/>
          <w:i w:val="false"/>
          <w:i w:val="false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position w:val="0"/>
          <w:sz w:val="22"/>
          <w:sz w:val="22"/>
          <w:szCs w:val="22"/>
          <w:vertAlign w:val="baseline"/>
        </w:rPr>
        <w:t>QT2 = qualificació del segon trimestre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>
          <w:rFonts w:ascii="Century Gothic" w:hAnsi="Century Gothic" w:eastAsia="Century Gothic" w:cs="Century Gothic"/>
          <w:i w:val="false"/>
          <w:i w:val="false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position w:val="0"/>
          <w:sz w:val="22"/>
          <w:sz w:val="22"/>
          <w:szCs w:val="22"/>
          <w:vertAlign w:val="baseline"/>
        </w:rPr>
        <w:t>QT3 = qualificació del tercer trimestre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i w:val="false"/>
          <w:i w:val="false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sz w:val="22"/>
          <w:szCs w:val="22"/>
        </w:rPr>
        <w:t>Destacar que, per poder generar la mitjana per obtindre la qualificació final, caldrà que l’estudiant, en cas de suspendre un o dos trimestres, hagi d’obtindre una qualificació mínima d’un 4 en els trimestres suspesos.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280" w:after="280"/>
        <w:ind w:left="0" w:right="0" w:hanging="0"/>
        <w:jc w:val="both"/>
        <w:rPr>
          <w:rFonts w:ascii="Century Gothic" w:hAnsi="Century Gothic" w:eastAsia="Century Gothic" w:cs="Century Gothic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color w:val="434343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 xml:space="preserve">AE: assoliment excel·lent (entre </w:t>
      </w:r>
      <w:r>
        <w:rPr>
          <w:rFonts w:eastAsia="Century Gothic" w:cs="Century Gothic" w:ascii="Century Gothic" w:hAnsi="Century Gothic"/>
          <w:i/>
          <w:color w:val="434343"/>
          <w:sz w:val="22"/>
          <w:szCs w:val="22"/>
        </w:rPr>
        <w:t xml:space="preserve">8 </w:t>
      </w: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 xml:space="preserve"> i 10)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color w:val="434343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 xml:space="preserve">AN: assoliment notable (entre </w:t>
      </w:r>
      <w:r>
        <w:rPr>
          <w:rFonts w:eastAsia="Century Gothic" w:cs="Century Gothic" w:ascii="Century Gothic" w:hAnsi="Century Gothic"/>
          <w:i/>
          <w:color w:val="434343"/>
          <w:sz w:val="22"/>
          <w:szCs w:val="22"/>
        </w:rPr>
        <w:t>61</w:t>
      </w: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 xml:space="preserve"> i 8)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color w:val="434343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>AS: assoliment satisfactori  (entre 5 i 6)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color w:val="434343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>NA: no assoliment  (menys de 5)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color w:val="FF2712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color w:val="FF2712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spacing w:lineRule="auto" w:line="240" w:before="0" w:after="240"/>
        <w:jc w:val="both"/>
        <w:rPr>
          <w:rFonts w:ascii="Century Gothic" w:hAnsi="Century Gothic" w:eastAsia="Century Gothic" w:cs="Century Gothic"/>
          <w:color w:val="000000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color w:val="000000"/>
          <w:position w:val="0"/>
          <w:sz w:val="22"/>
          <w:sz w:val="22"/>
          <w:szCs w:val="22"/>
          <w:vertAlign w:val="baseline"/>
        </w:rPr>
        <w:t>L’arrodoniment de les notes serà a l’alça a partir de x,50.</w:t>
      </w:r>
    </w:p>
    <w:p>
      <w:pPr>
        <w:pStyle w:val="Normal1"/>
        <w:spacing w:lineRule="auto" w:line="240" w:before="0" w:after="240"/>
        <w:jc w:val="both"/>
        <w:rPr>
          <w:rFonts w:ascii="Century Gothic" w:hAnsi="Century Gothic" w:eastAsia="Century Gothic" w:cs="Century Gothic"/>
          <w:color w:val="00B0F0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b/>
          <w:color w:val="00B0F0"/>
          <w:position w:val="0"/>
          <w:sz w:val="22"/>
          <w:sz w:val="22"/>
          <w:szCs w:val="22"/>
          <w:vertAlign w:val="baseline"/>
        </w:rPr>
        <w:t>RECUPERACIÓ MATÈRIA PENDENT CURSOS ANTERIORS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color w:val="434343"/>
          <w:position w:val="0"/>
          <w:sz w:val="24"/>
          <w:sz w:val="22"/>
          <w:szCs w:val="22"/>
          <w:highlight w:val="white"/>
          <w:vertAlign w:val="baseline"/>
        </w:rPr>
      </w:pPr>
      <w:r>
        <w:rPr>
          <w:rFonts w:eastAsia="Century Gothic" w:cs="Century Gothic" w:ascii="Century Gothic" w:hAnsi="Century Gothic"/>
          <w:color w:val="434343"/>
          <w:position w:val="0"/>
          <w:sz w:val="22"/>
          <w:sz w:val="22"/>
          <w:szCs w:val="22"/>
          <w:highlight w:val="white"/>
          <w:vertAlign w:val="baseline"/>
        </w:rPr>
        <w:t>-A principi de curs, tot l’alumnat i famílies rebran les instruccions per recuperar la/es matèria /es pendents de cursos anteriors a través d’un document que a la vegada estarà publicat a la pàgina web del centre.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4"/>
          <w:sz w:val="22"/>
          <w:szCs w:val="22"/>
          <w:highlight w:val="white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highlight w:val="white"/>
          <w:vertAlign w:val="baseline"/>
        </w:rPr>
        <w:t xml:space="preserve">-Una matèria suspesa de cursos anteriors quedarà automàticament aprovada en el cas que l’alumne/a assoleixi l’aprovat de la mateixa matèria però d’un curs superior. </w:t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  <w:t>-L'alumnat amb matèries pendents de cursos anteriors que passi a un grup d'adaptació individualitzada serà avaluat segons els criteris específics del nou grup entrant.</w:t>
      </w:r>
    </w:p>
    <w:p>
      <w:pPr>
        <w:pStyle w:val="Normal1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position w:val="0"/>
          <w:sz w:val="24"/>
          <w:sz w:val="22"/>
          <w:szCs w:val="22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418" w:footer="709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Georgia">
    <w:charset w:val="00"/>
    <w:family w:val="roman"/>
    <w:pitch w:val="variable"/>
  </w:font>
  <w:font w:name="Century Gothic">
    <w:charset w:val="00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 w:val="false"/>
      <w:pBdr/>
      <w:shd w:val="clear" w:fill="auto"/>
      <w:spacing w:lineRule="auto" w:line="276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Table4"/>
      <w:tblW w:w="969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693"/>
      <w:gridCol w:w="2302"/>
      <w:gridCol w:w="1124"/>
      <w:gridCol w:w="1015"/>
      <w:gridCol w:w="1978"/>
      <w:gridCol w:w="573"/>
      <w:gridCol w:w="1263"/>
      <w:gridCol w:w="748"/>
    </w:tblGrid>
    <w:tr>
      <w:trPr>
        <w:trHeight w:val="294" w:hRule="atLeast"/>
        <w:cantSplit w:val="true"/>
      </w:trPr>
      <w:tc>
        <w:tcPr>
          <w:tcW w:w="693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16"/>
              <w:szCs w:val="16"/>
              <w:u w:val="none"/>
              <w:shd w:fill="auto" w:val="clear"/>
              <w:vertAlign w:val="baseline"/>
            </w:rPr>
          </w:pPr>
          <w:r>
            <w:rPr/>
            <w:drawing>
              <wp:inline distT="0" distB="0" distL="0" distR="0">
                <wp:extent cx="281305" cy="314325"/>
                <wp:effectExtent l="0" t="0" r="0" b="0"/>
                <wp:docPr id="2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305" cy="314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2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Generalitat de Catalunya </w:t>
          </w:r>
        </w:p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Departament d’Educació</w:t>
          </w:r>
        </w:p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Institut Baix Camp</w:t>
          </w:r>
        </w:p>
      </w:tc>
      <w:tc>
        <w:tcPr>
          <w:tcW w:w="112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25/06/2024</w:t>
          </w:r>
        </w:p>
      </w:tc>
      <w:tc>
        <w:tcPr>
          <w:tcW w:w="101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righ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Arxiu</w:t>
          </w:r>
        </w:p>
      </w:tc>
      <w:tc>
        <w:tcPr>
          <w:tcW w:w="3814" w:type="dxa"/>
          <w:gridSpan w:val="3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Model criteris qualificació ESO</w:t>
          </w:r>
        </w:p>
      </w:tc>
      <w:tc>
        <w:tcPr>
          <w:tcW w:w="748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24"/>
              <w:sz w:val="16"/>
              <w:szCs w:val="16"/>
              <w:u w:val="none"/>
              <w:shd w:fill="auto" w:val="clear"/>
              <w:vertAlign w:val="baseline"/>
            </w:rPr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</w:p>
      </w:tc>
    </w:tr>
    <w:tr>
      <w:trPr>
        <w:trHeight w:val="294" w:hRule="atLeast"/>
        <w:cantSplit w:val="true"/>
      </w:trPr>
      <w:tc>
        <w:tcPr>
          <w:tcW w:w="693" w:type="dxa"/>
          <w:vMerge w:val="continue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  <w:tc>
        <w:tcPr>
          <w:tcW w:w="2302" w:type="dxa"/>
          <w:vMerge w:val="continue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  <w:tc>
        <w:tcPr>
          <w:tcW w:w="112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versió  1</w:t>
          </w:r>
        </w:p>
      </w:tc>
      <w:tc>
        <w:tcPr>
          <w:tcW w:w="101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righ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Elaborat</w:t>
          </w:r>
        </w:p>
      </w:tc>
      <w:tc>
        <w:tcPr>
          <w:tcW w:w="197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Coordinació pedagògica </w:t>
          </w:r>
        </w:p>
      </w:tc>
      <w:tc>
        <w:tcPr>
          <w:tcW w:w="573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Codi</w:t>
          </w:r>
        </w:p>
      </w:tc>
      <w:tc>
        <w:tcPr>
          <w:tcW w:w="1263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MO-PRO087</w:t>
          </w:r>
        </w:p>
      </w:tc>
      <w:tc>
        <w:tcPr>
          <w:tcW w:w="748" w:type="dxa"/>
          <w:vMerge w:val="continue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</w:tr>
  </w:tbl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 w:val="false"/>
      <w:pBdr/>
      <w:shd w:val="clear" w:fill="auto"/>
      <w:spacing w:lineRule="auto" w:line="276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Table3"/>
      <w:tblW w:w="918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3060"/>
      <w:gridCol w:w="1799"/>
      <w:gridCol w:w="4321"/>
    </w:tblGrid>
    <w:tr>
      <w:trPr>
        <w:trHeight w:val="537" w:hRule="atLeast"/>
        <w:cantSplit w:val="true"/>
      </w:trPr>
      <w:tc>
        <w:tcPr>
          <w:tcW w:w="3060" w:type="dxa"/>
          <w:vMerge w:val="restart"/>
          <w:tcBorders>
            <w:bottom w:val="single" w:sz="4" w:space="0" w:color="000000"/>
          </w:tcBorders>
          <w:vAlign w:val="center"/>
        </w:tcPr>
        <w:p>
          <w:pPr>
            <w:pStyle w:val="Normal1"/>
            <w:widowControl w:val="false"/>
            <w:tabs>
              <w:tab w:val="clear" w:pos="720"/>
              <w:tab w:val="left" w:pos="567" w:leader="none"/>
            </w:tabs>
            <w:rPr>
              <w:color w:val="333333"/>
              <w:position w:val="0"/>
              <w:sz w:val="24"/>
              <w:vertAlign w:val="baseline"/>
            </w:rPr>
          </w:pPr>
          <w:r>
            <w:rPr>
              <w:color w:val="333333"/>
              <w:position w:val="0"/>
              <w:sz w:val="24"/>
              <w:vertAlign w:val="baseline"/>
            </w:rPr>
            <w:drawing>
              <wp:anchor behindDoc="1" distT="0" distB="0" distL="114300" distR="114300" simplePos="0" locked="0" layoutInCell="1" allowOverlap="1" relativeHeight="7">
                <wp:simplePos x="0" y="0"/>
                <wp:positionH relativeFrom="column">
                  <wp:posOffset>-809625</wp:posOffset>
                </wp:positionH>
                <wp:positionV relativeFrom="paragraph">
                  <wp:posOffset>-1905</wp:posOffset>
                </wp:positionV>
                <wp:extent cx="809625" cy="809625"/>
                <wp:effectExtent l="0" t="0" r="0" b="0"/>
                <wp:wrapSquare wrapText="bothSides"/>
                <wp:docPr id="1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0" w:type="dxa"/>
          <w:gridSpan w:val="2"/>
          <w:tcBorders/>
          <w:vAlign w:val="center"/>
        </w:tcPr>
        <w:p>
          <w:pPr>
            <w:pStyle w:val="Normal1"/>
            <w:keepNext w:val="true"/>
            <w:keepLines w:val="false"/>
            <w:widowControl w:val="false"/>
            <w:pBdr/>
            <w:shd w:val="clear" w:fill="auto"/>
            <w:spacing w:lineRule="auto" w:line="240" w:before="0" w:after="0"/>
            <w:ind w:left="0" w:right="0" w:hanging="0"/>
            <w:jc w:val="center"/>
            <w:rPr>
              <w:rFonts w:ascii="Century Gothic" w:hAnsi="Century Gothic" w:eastAsia="Century Gothic" w:cs="Century Gothic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333333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>
              <w:rFonts w:eastAsia="Century Gothic" w:cs="Century Gothic" w:ascii="Century Gothic" w:hAnsi="Century Gothic"/>
              <w:b/>
              <w:i w:val="false"/>
              <w:caps w:val="false"/>
              <w:smallCaps w:val="false"/>
              <w:strike w:val="false"/>
              <w:dstrike w:val="false"/>
              <w:color w:val="333333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 xml:space="preserve">          </w:t>
          </w:r>
          <w:r>
            <w:rPr>
              <w:rFonts w:eastAsia="Century Gothic" w:cs="Century Gothic" w:ascii="Century Gothic" w:hAnsi="Century Gothic"/>
              <w:b/>
              <w:i w:val="false"/>
              <w:caps w:val="false"/>
              <w:smallCaps w:val="false"/>
              <w:strike w:val="false"/>
              <w:dstrike w:val="false"/>
              <w:color w:val="333333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CRITERIS DE QUALIFICACIÓ ESO</w:t>
          </w:r>
        </w:p>
      </w:tc>
    </w:tr>
    <w:tr>
      <w:trPr>
        <w:trHeight w:val="253" w:hRule="atLeast"/>
        <w:cantSplit w:val="true"/>
      </w:trPr>
      <w:tc>
        <w:tcPr>
          <w:tcW w:w="3060" w:type="dxa"/>
          <w:vMerge w:val="continue"/>
          <w:tcBorders>
            <w:bottom w:val="single" w:sz="4" w:space="0" w:color="00000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left="0" w:right="0" w:hanging="0"/>
            <w:jc w:val="left"/>
            <w:rPr>
              <w:rFonts w:ascii="Century Gothic" w:hAnsi="Century Gothic" w:eastAsia="Century Gothic" w:cs="Century Gothic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333333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>
              <w:rFonts w:eastAsia="Century Gothic" w:cs="Century Gothic" w:ascii="Century Gothic" w:hAnsi="Century Gothic"/>
              <w:b/>
              <w:i w:val="false"/>
              <w:caps w:val="false"/>
              <w:smallCaps w:val="false"/>
              <w:strike w:val="false"/>
              <w:dstrike w:val="false"/>
              <w:color w:val="333333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r>
        </w:p>
      </w:tc>
      <w:tc>
        <w:tcPr>
          <w:tcW w:w="1799" w:type="dxa"/>
          <w:tcBorders/>
          <w:vAlign w:val="center"/>
        </w:tcPr>
        <w:p>
          <w:pPr>
            <w:pStyle w:val="Normal1"/>
            <w:widowControl w:val="false"/>
            <w:rPr>
              <w:rFonts w:ascii="Century Gothic" w:hAnsi="Century Gothic" w:eastAsia="Century Gothic" w:cs="Century Gothic"/>
              <w:color w:val="333333"/>
              <w:position w:val="0"/>
              <w:sz w:val="18"/>
              <w:sz w:val="18"/>
              <w:szCs w:val="18"/>
              <w:vertAlign w:val="baseline"/>
            </w:rPr>
          </w:pPr>
          <w:r>
            <w:rPr>
              <w:rFonts w:eastAsia="Century Gothic" w:cs="Century Gothic" w:ascii="Century Gothic" w:hAnsi="Century Gothic"/>
              <w:color w:val="333333"/>
              <w:position w:val="0"/>
              <w:sz w:val="18"/>
              <w:sz w:val="18"/>
              <w:szCs w:val="18"/>
              <w:vertAlign w:val="baseline"/>
            </w:rPr>
            <w:t>Matèria</w:t>
          </w:r>
        </w:p>
      </w:tc>
      <w:tc>
        <w:tcPr>
          <w:tcW w:w="4321" w:type="dxa"/>
          <w:tcBorders/>
          <w:vAlign w:val="center"/>
        </w:tcPr>
        <w:p>
          <w:pPr>
            <w:pStyle w:val="Normal1"/>
            <w:widowControl w:val="false"/>
            <w:rPr>
              <w:rFonts w:ascii="Century Gothic" w:hAnsi="Century Gothic" w:eastAsia="Century Gothic" w:cs="Century Gothic"/>
              <w:color w:val="333333"/>
              <w:position w:val="0"/>
              <w:sz w:val="18"/>
              <w:sz w:val="18"/>
              <w:szCs w:val="18"/>
              <w:vertAlign w:val="baseline"/>
            </w:rPr>
          </w:pPr>
          <w:r>
            <w:rPr>
              <w:rFonts w:eastAsia="Century Gothic" w:cs="Century Gothic" w:ascii="Century Gothic" w:hAnsi="Century Gothic"/>
              <w:color w:val="333333"/>
              <w:position w:val="0"/>
              <w:sz w:val="18"/>
              <w:sz w:val="18"/>
              <w:szCs w:val="18"/>
              <w:vertAlign w:val="baseline"/>
            </w:rPr>
            <w:t>Educació Plàstica, Visual i Audiovisual</w:t>
          </w:r>
        </w:p>
      </w:tc>
    </w:tr>
    <w:tr>
      <w:trPr>
        <w:trHeight w:val="403" w:hRule="atLeast"/>
        <w:cantSplit w:val="true"/>
      </w:trPr>
      <w:tc>
        <w:tcPr>
          <w:tcW w:w="3060" w:type="dxa"/>
          <w:vMerge w:val="continue"/>
          <w:tcBorders>
            <w:bottom w:val="single" w:sz="4" w:space="0" w:color="000000"/>
          </w:tcBorders>
          <w:vAlign w:val="cente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left="0" w:right="0" w:hanging="0"/>
            <w:jc w:val="left"/>
            <w:rPr>
              <w:rFonts w:ascii="Century Gothic" w:hAnsi="Century Gothic" w:eastAsia="Century Gothic" w:cs="Century Gothic"/>
              <w:color w:val="333333"/>
              <w:position w:val="0"/>
              <w:sz w:val="18"/>
              <w:sz w:val="18"/>
              <w:szCs w:val="18"/>
              <w:vertAlign w:val="baseline"/>
            </w:rPr>
          </w:pPr>
          <w:r>
            <w:rPr>
              <w:rFonts w:eastAsia="Century Gothic" w:cs="Century Gothic" w:ascii="Century Gothic" w:hAnsi="Century Gothic"/>
              <w:color w:val="333333"/>
              <w:position w:val="0"/>
              <w:sz w:val="18"/>
              <w:sz w:val="18"/>
              <w:szCs w:val="18"/>
              <w:vertAlign w:val="baseline"/>
            </w:rPr>
          </w:r>
        </w:p>
      </w:tc>
      <w:tc>
        <w:tcPr>
          <w:tcW w:w="1799" w:type="dxa"/>
          <w:tcBorders>
            <w:bottom w:val="single" w:sz="4" w:space="0" w:color="000000"/>
          </w:tcBorders>
          <w:vAlign w:val="center"/>
        </w:tcPr>
        <w:p>
          <w:pPr>
            <w:pStyle w:val="Normal1"/>
            <w:widowControl w:val="false"/>
            <w:rPr>
              <w:rFonts w:ascii="Century Gothic" w:hAnsi="Century Gothic" w:eastAsia="Century Gothic" w:cs="Century Gothic"/>
              <w:color w:val="333333"/>
              <w:position w:val="0"/>
              <w:sz w:val="18"/>
              <w:sz w:val="18"/>
              <w:szCs w:val="18"/>
              <w:vertAlign w:val="baseline"/>
            </w:rPr>
          </w:pPr>
          <w:r>
            <w:rPr>
              <w:rFonts w:eastAsia="Century Gothic" w:cs="Century Gothic" w:ascii="Century Gothic" w:hAnsi="Century Gothic"/>
              <w:color w:val="333333"/>
              <w:position w:val="0"/>
              <w:sz w:val="18"/>
              <w:sz w:val="18"/>
              <w:szCs w:val="18"/>
              <w:vertAlign w:val="baseline"/>
            </w:rPr>
            <w:t>Nivell</w:t>
          </w:r>
        </w:p>
      </w:tc>
      <w:tc>
        <w:tcPr>
          <w:tcW w:w="4321" w:type="dxa"/>
          <w:tcBorders>
            <w:bottom w:val="single" w:sz="4" w:space="0" w:color="000000"/>
          </w:tcBorders>
          <w:vAlign w:val="center"/>
        </w:tcPr>
        <w:p>
          <w:pPr>
            <w:pStyle w:val="Normal1"/>
            <w:widowControl w:val="false"/>
            <w:rPr>
              <w:rFonts w:ascii="Century Gothic" w:hAnsi="Century Gothic" w:eastAsia="Century Gothic" w:cs="Century Gothic"/>
              <w:color w:val="333333"/>
              <w:position w:val="0"/>
              <w:sz w:val="18"/>
              <w:sz w:val="18"/>
              <w:szCs w:val="18"/>
              <w:vertAlign w:val="baseline"/>
            </w:rPr>
          </w:pPr>
          <w:r>
            <w:rPr>
              <w:rFonts w:eastAsia="Century Gothic" w:cs="Century Gothic" w:ascii="Century Gothic" w:hAnsi="Century Gothic"/>
              <w:color w:val="333333"/>
              <w:sz w:val="18"/>
              <w:szCs w:val="18"/>
            </w:rPr>
            <w:t xml:space="preserve">2n </w:t>
          </w:r>
          <w:r>
            <w:rPr>
              <w:rFonts w:eastAsia="Century Gothic" w:cs="Century Gothic" w:ascii="Century Gothic" w:hAnsi="Century Gothic"/>
              <w:color w:val="333333"/>
              <w:position w:val="0"/>
              <w:sz w:val="18"/>
              <w:sz w:val="18"/>
              <w:szCs w:val="18"/>
              <w:vertAlign w:val="baseline"/>
            </w:rPr>
            <w:t xml:space="preserve"> ESO</w:t>
          </w:r>
        </w:p>
      </w:tc>
    </w:tr>
  </w:tbl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Arial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es-ES" w:eastAsia="es-ES" w:bidi="ar-SA"/>
    </w:rPr>
  </w:style>
  <w:style w:type="paragraph" w:styleId="Encapalament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Encapalament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Encapalament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Encapalament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Encapalament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Encapalament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Tipusdelletraperdefectedelpargraf">
    <w:name w:val="Tipus de lletra per defecte del paràgraf"/>
    <w:qFormat/>
    <w:rPr>
      <w:w w:val="100"/>
      <w:position w:val="0"/>
      <w:sz w:val="24"/>
      <w:effect w:val="none"/>
      <w:vertAlign w:val="baseline"/>
      <w:em w:val="none"/>
    </w:rPr>
  </w:style>
  <w:style w:type="character" w:styleId="Textennegreta">
    <w:name w:val="Text en negreta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PeuCar">
    <w:name w:val="Peu Car"/>
    <w:qFormat/>
    <w:rPr>
      <w:w w:val="100"/>
      <w:position w:val="0"/>
      <w:sz w:val="24"/>
      <w:sz w:val="24"/>
      <w:szCs w:val="24"/>
      <w:effect w:val="none"/>
      <w:vertAlign w:val="baseline"/>
      <w:em w:val="none"/>
      <w:lang w:eastAsia="es-ES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es-ES" w:eastAsia="zh-CN" w:bidi="hi-IN"/>
    </w:rPr>
  </w:style>
  <w:style w:type="paragraph" w:styleId="Ttol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ol1">
    <w:name w:val="Títol 1"/>
    <w:basedOn w:val="Normal1"/>
    <w:next w:val="Normal1"/>
    <w:qFormat/>
    <w:pPr>
      <w:keepNext w:val="true"/>
      <w:suppressAutoHyphens w:val="true"/>
      <w:spacing w:lineRule="atLeast" w:line="1" w:before="240" w:after="60"/>
      <w:textAlignment w:val="top"/>
      <w:outlineLvl w:val="0"/>
    </w:pPr>
    <w:rPr>
      <w:rFonts w:ascii="Arial" w:hAnsi="Arial" w:cs="Arial"/>
      <w:b/>
      <w:bCs/>
      <w:w w:val="100"/>
      <w:kern w:val="2"/>
      <w:position w:val="0"/>
      <w:sz w:val="32"/>
      <w:sz w:val="32"/>
      <w:szCs w:val="32"/>
      <w:effect w:val="none"/>
      <w:vertAlign w:val="baseline"/>
      <w:em w:val="none"/>
      <w:lang w:val="ca-ES" w:eastAsia="ca-ES" w:bidi="ar-SA"/>
    </w:rPr>
  </w:style>
  <w:style w:type="paragraph" w:styleId="Ttol3">
    <w:name w:val="Títol 3"/>
    <w:basedOn w:val="Normal1"/>
    <w:next w:val="Normal1"/>
    <w:qFormat/>
    <w:pPr>
      <w:keepNext w:val="true"/>
      <w:widowControl w:val="false"/>
      <w:suppressAutoHyphens w:val="false"/>
      <w:spacing w:lineRule="atLeast" w:line="1" w:before="240" w:after="60"/>
      <w:textAlignment w:val="top"/>
      <w:outlineLvl w:val="2"/>
    </w:pPr>
    <w:rPr>
      <w:rFonts w:ascii="Times" w:hAnsi="Times" w:eastAsia="DejaVu Sans" w:cs="Arial"/>
      <w:b/>
      <w:bCs/>
      <w:w w:val="100"/>
      <w:kern w:val="2"/>
      <w:position w:val="0"/>
      <w:sz w:val="26"/>
      <w:sz w:val="26"/>
      <w:szCs w:val="26"/>
      <w:effect w:val="none"/>
      <w:vertAlign w:val="baseline"/>
      <w:em w:val="none"/>
      <w:lang w:val="ca-ES" w:eastAsia="und" w:bidi="ar-SA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es-ES" w:eastAsia="es-ES" w:bidi="ar-SA"/>
    </w:rPr>
  </w:style>
  <w:style w:type="paragraph" w:styleId="Peu">
    <w:name w:val="Peu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es-ES" w:eastAsia="es-ES" w:bidi="ar-SA"/>
    </w:rPr>
  </w:style>
  <w:style w:type="paragraph" w:styleId="Formatolibre">
    <w:name w:val="Formato libre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Arial"/>
      <w:color w:val="000000"/>
      <w:w w:val="100"/>
      <w:kern w:val="0"/>
      <w:position w:val="0"/>
      <w:sz w:val="24"/>
      <w:sz w:val="24"/>
      <w:szCs w:val="24"/>
      <w:effect w:val="none"/>
      <w:vertAlign w:val="baseline"/>
      <w:em w:val="none"/>
      <w:lang w:val="und" w:eastAsia="es-ES" w:bidi="ar-SA"/>
    </w:rPr>
  </w:style>
  <w:style w:type="paragraph" w:styleId="Ttulo31">
    <w:name w:val="Título 31"/>
    <w:next w:val="Normal1"/>
    <w:qFormat/>
    <w:pPr>
      <w:keepNext w:val="true"/>
      <w:widowControl w:val="false"/>
      <w:suppressAutoHyphens w:val="false"/>
      <w:bidi w:val="0"/>
      <w:spacing w:lineRule="atLeast" w:line="1" w:before="240" w:after="60"/>
      <w:jc w:val="left"/>
      <w:textAlignment w:val="top"/>
      <w:outlineLvl w:val="2"/>
    </w:pPr>
    <w:rPr>
      <w:rFonts w:ascii="Times" w:hAnsi="Times" w:eastAsia="ヒラギノ角ゴ Pro W3" w:cs="Arial"/>
      <w:b/>
      <w:color w:val="000000"/>
      <w:w w:val="100"/>
      <w:kern w:val="2"/>
      <w:position w:val="0"/>
      <w:sz w:val="26"/>
      <w:sz w:val="26"/>
      <w:szCs w:val="24"/>
      <w:effect w:val="none"/>
      <w:vertAlign w:val="baseline"/>
      <w:em w:val="none"/>
      <w:lang w:val="und" w:eastAsia="es-ES" w:bidi="ar-SA"/>
    </w:rPr>
  </w:style>
  <w:style w:type="paragraph" w:styleId="NormalWeb">
    <w:name w:val="Normal (Web)"/>
    <w:basedOn w:val="Normal1"/>
    <w:qFormat/>
    <w:pPr>
      <w:suppressAutoHyphens w:val="true"/>
      <w:spacing w:lineRule="atLeast" w:line="1" w:beforeAutospacing="1" w:afterAutospacing="1"/>
      <w:textAlignment w:val="top"/>
      <w:outlineLvl w:val="0"/>
    </w:pPr>
    <w:rPr>
      <w:w w:val="100"/>
      <w:position w:val="0"/>
      <w:sz w:val="20"/>
      <w:sz w:val="20"/>
      <w:szCs w:val="20"/>
      <w:effect w:val="none"/>
      <w:vertAlign w:val="baseline"/>
      <w:em w:val="none"/>
      <w:lang w:val="es-ES" w:eastAsia="es-ES" w:bidi="ar-SA"/>
    </w:rPr>
  </w:style>
  <w:style w:type="paragraph" w:styleId="Pargrafdellista">
    <w:name w:val="Paràgraf de llista"/>
    <w:basedOn w:val="Normal1"/>
    <w:qFormat/>
    <w:pPr>
      <w:suppressAutoHyphens w:val="true"/>
      <w:spacing w:lineRule="atLeast" w:line="1"/>
      <w:ind w:left="708" w:hanging="0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es-ES" w:eastAsia="es-ES" w:bidi="ar-SA"/>
    </w:rPr>
  </w:style>
  <w:style w:type="paragraph" w:styleId="Subttol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eudepgina">
    <w:name w:val="Footer"/>
    <w:basedOn w:val="Capaleraipeu"/>
    <w:pPr/>
    <w:rPr/>
  </w:style>
  <w:style w:type="numbering" w:styleId="Sensellista">
    <w:name w:val="Sense llista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styleId="Taulanormal">
    <w:name w:val="Taula normal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ulaambquadrícula">
    <w:name w:val="Taula amb quadrícula"/>
    <w:basedOn w:val="Taulanormal"/>
    <w:qFormat/>
    <w:pPr>
      <w:ind w:rightChars="0"/>
      <w:spacing w:line="1" w:lineRule="atLeast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haWOM6mLEGMW7Oqn5/Xhax757w==">CgMxLjA4AHIhMWxmcXNveldQbHVjeUhuX1Atd2RoVnVEWXlkSDVQd3Y3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LibreOffice/7.0.6.2$Windows_X86_64 LibreOffice_project/144abb84a525d8e30c9dbbefa69cbbf2d8d4ae3b</Application>
  <AppVersion>15.0000</AppVersion>
  <Pages>3</Pages>
  <Words>795</Words>
  <Characters>4592</Characters>
  <CharactersWithSpaces>5326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2024-06-27T09:01:00Z</dcterms:created>
  <dc:creator>j&amp;n</dc:creator>
  <dc:description/>
  <dc:language>ca-ES</dc:language>
  <cp:lastModifiedBy/>
  <dcterms:modified xsi:type="dcterms:W3CDTF">2024-09-03T16:36:47Z</dcterms:modified>
  <cp:revision>1</cp:revision>
  <dc:subject/>
  <dc:title/>
</cp:coreProperties>
</file>