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1" w:hanging="3"/>
        <w:rPr>
          <w:rFonts w:ascii="Century Gothic" w:hAnsi="Century Gothic" w:eastAsia="Century Gothic" w:cs="Century Gothic"/>
          <w:b/>
          <w:b/>
          <w:color w:val="00B0F0"/>
          <w:sz w:val="28"/>
          <w:szCs w:val="28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8"/>
          <w:szCs w:val="28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b/>
          <w:color w:val="70AD47"/>
          <w:sz w:val="22"/>
          <w:szCs w:val="22"/>
          <w:lang w:val="ca-ES"/>
        </w:rPr>
        <w:t>AVALUACIÓ ORDINÀRIA</w:t>
      </w:r>
    </w:p>
    <w:p>
      <w:pPr>
        <w:pStyle w:val="Normal"/>
        <w:keepNext w:val="true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spacing w:lineRule="auto" w:line="240" w:before="240" w:after="60"/>
        <w:ind w:left="0" w:hanging="2"/>
        <w:rPr>
          <w:rFonts w:ascii="Times" w:hAnsi="Times" w:eastAsia="Times" w:cs="Times"/>
          <w:b/>
          <w:b/>
          <w:color w:val="000000"/>
          <w:sz w:val="26"/>
          <w:szCs w:val="26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Nota trimestral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 xml:space="preserve">La nota final de la convocatòria trimestral s’obté a partir de les notes obtingudes en el treball de les competències específiques de la matèria seleccionades a continuació. </w:t>
      </w:r>
    </w:p>
    <w:p>
      <w:pPr>
        <w:pStyle w:val="Normal"/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</w:r>
    </w:p>
    <w:p>
      <w:pPr>
        <w:pStyle w:val="Normal"/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 xml:space="preserve">De caràcter general, els instruments d’avaluació seran diferents, preveuran </w:t>
      </w:r>
      <w:r>
        <w:rPr>
          <w:rFonts w:eastAsia="Century Gothic" w:cs="Century Gothic" w:ascii="Century Gothic" w:hAnsi="Century Gothic"/>
          <w:color w:val="222222"/>
          <w:sz w:val="22"/>
          <w:szCs w:val="22"/>
          <w:highlight w:val="white"/>
          <w:lang w:val="ca-ES"/>
        </w:rPr>
        <w:t>l'autoavaluació i la co-avaluació d’alumnat i garantiran un seguiment continu de cada alumne/a al llarg del procés d'aprenentatge.</w:t>
      </w:r>
    </w:p>
    <w:p>
      <w:pPr>
        <w:pStyle w:val="Normal"/>
        <w:ind w:left="0" w:hanging="2"/>
        <w:jc w:val="both"/>
        <w:rPr>
          <w:rFonts w:ascii="Century Gothic" w:hAnsi="Century Gothic" w:eastAsia="Century Gothic" w:cs="Century Gothic"/>
          <w:color w:val="222222"/>
          <w:sz w:val="22"/>
          <w:szCs w:val="22"/>
          <w:highlight w:val="white"/>
          <w:lang w:val="ca-ES"/>
        </w:rPr>
      </w:pPr>
      <w:r>
        <w:rPr>
          <w:rFonts w:eastAsia="Century Gothic" w:cs="Century Gothic" w:ascii="Century Gothic" w:hAnsi="Century Gothic"/>
          <w:color w:val="222222"/>
          <w:sz w:val="22"/>
          <w:szCs w:val="22"/>
          <w:highlight w:val="white"/>
          <w:lang w:val="ca-ES"/>
        </w:rPr>
      </w:r>
    </w:p>
    <w:tbl>
      <w:tblPr>
        <w:tblStyle w:val="a"/>
        <w:tblW w:w="9860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588"/>
        <w:gridCol w:w="1271"/>
      </w:tblGrid>
      <w:tr>
        <w:trPr>
          <w:trHeight w:val="807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2D050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  <w:t xml:space="preserve">COMPETÈNCIES ESPECÍFIQUES MATÈRIA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2D050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  <w:t>SELECCIÓ</w:t>
            </w:r>
          </w:p>
        </w:tc>
      </w:tr>
      <w:tr>
        <w:trPr>
          <w:trHeight w:val="509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Competència específica 1.</w:t>
            </w:r>
            <w:r>
              <w:rPr>
                <w:b/>
                <w:color w:val="000000"/>
                <w:sz w:val="20"/>
                <w:szCs w:val="20"/>
                <w:lang w:val="ca-ES"/>
              </w:rPr>
              <w:t xml:space="preserve"> </w:t>
            </w:r>
            <w:r>
              <w:rPr>
                <w:rFonts w:eastAsia="Century Gothic" w:cs="Century Gothic" w:ascii="Century Gothic" w:hAnsi="Century Gothic"/>
                <w:i/>
                <w:color w:val="333333"/>
                <w:sz w:val="16"/>
                <w:szCs w:val="16"/>
                <w:lang w:val="ca-ES"/>
              </w:rPr>
              <w:t>Llegir, interpretar i valorar clàssics de la literatura castellana atenent tant les relacions internes dels elements constitutius del gènere i a les seves funcions en les obres, com les relacions externes de les obres amb el seu context de producció i la seva inscripció en la tradició cultural, per eixamplar les possibilitats de gaudi de la literatura.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  <w:tr>
        <w:trPr>
          <w:trHeight w:val="693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 xml:space="preserve">Competència específica 2. </w:t>
            </w:r>
            <w:r>
              <w:rPr>
                <w:rFonts w:eastAsia="Century Gothic" w:cs="Century Gothic" w:ascii="Century Gothic" w:hAnsi="Century Gothic"/>
                <w:i/>
                <w:color w:val="333333"/>
                <w:sz w:val="16"/>
                <w:szCs w:val="16"/>
                <w:lang w:val="ca-ES"/>
              </w:rPr>
              <w:t>Llegir de manera autònoma clàssics de la literatura castellana com a font de plaer i coneixement, compartir experiències de lectura i crear textos d’intenció literària, per construir la pròpia identitat lectora, gaudir de la dimensió social de la lectura i estimular la creativitat literària i artística.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  <w:tr>
        <w:trPr>
          <w:trHeight w:val="402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both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 xml:space="preserve">Competència específica 3. </w:t>
            </w:r>
            <w:r>
              <w:rPr>
                <w:rFonts w:eastAsia="Century Gothic" w:cs="Century Gothic" w:ascii="Century Gothic" w:hAnsi="Century Gothic"/>
                <w:i/>
                <w:color w:val="000000"/>
                <w:sz w:val="16"/>
                <w:szCs w:val="16"/>
                <w:lang w:val="ca-ES"/>
              </w:rPr>
              <w:t>Establir vincles entre obres de diferents èpoques, contextos, gèneres, imaginaris i llenguatges artístics, reconeixent semblances i diferències en funció dels respectius contextos de producció i de la interrelació entre literatura i societat, per constatar l’existència d’universals temàtics i vies formals recurrents al llarg de la història de la cultura.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  <w:tr>
        <w:trPr>
          <w:trHeight w:val="402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both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 xml:space="preserve">Competència específica 4. </w:t>
            </w:r>
            <w:r>
              <w:rPr>
                <w:rFonts w:eastAsia="Century Gothic" w:cs="Century Gothic" w:ascii="Century Gothic" w:hAnsi="Century Gothic"/>
                <w:i/>
                <w:color w:val="000000"/>
                <w:sz w:val="16"/>
                <w:szCs w:val="16"/>
                <w:lang w:val="ca-ES"/>
              </w:rPr>
              <w:t>Consolidar un marc de referències compartides a partir del coneixement d’alguns trets dels principals moviments estètics i d’algunes de les obres literàries més rellevants del patrimoni en llengua castellana per construir un mapa cultural en el qual inscriure les experiències literàries i culturals personals.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  <w:tr>
        <w:trPr>
          <w:trHeight w:val="402" w:hRule="atLeast"/>
        </w:trPr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both"/>
              <w:rPr>
                <w:color w:val="000000"/>
                <w:sz w:val="20"/>
                <w:szCs w:val="20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 xml:space="preserve">Competència específica 5. </w:t>
            </w:r>
            <w:r>
              <w:rPr>
                <w:rFonts w:eastAsia="Century Gothic" w:cs="Century Gothic" w:ascii="Century Gothic" w:hAnsi="Century Gothic"/>
                <w:i/>
                <w:color w:val="000000"/>
                <w:sz w:val="16"/>
                <w:szCs w:val="16"/>
                <w:lang w:val="ca-ES"/>
              </w:rPr>
              <w:t>Participar en la construcció d’un cànon literari que integri la perspectiva d’experiència de les dones i altres perspectives que no han estat visibilitzades, mitjançant la lectura d’obres d’escriptores i d’altres autors i autores marginats en llengua castellana, per desenvolupar el pensament crític pel que fa a la construcció discursiva del món i dels seus imaginaris.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150"/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333333"/>
                <w:sz w:val="16"/>
                <w:szCs w:val="16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333333"/>
                <w:sz w:val="16"/>
                <w:szCs w:val="16"/>
                <w:lang w:val="ca-ES"/>
              </w:rPr>
              <w:t>x</w:t>
            </w:r>
          </w:p>
        </w:tc>
      </w:tr>
    </w:tbl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lang w:val="ca-ES"/>
        </w:rPr>
      </w:r>
    </w:p>
    <w:tbl>
      <w:tblPr>
        <w:tblStyle w:val="a0"/>
        <w:tblW w:w="1067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625"/>
        <w:gridCol w:w="4097"/>
        <w:gridCol w:w="1953"/>
      </w:tblGrid>
      <w:tr>
        <w:trPr>
          <w:trHeight w:val="718" w:hRule="atLeast"/>
        </w:trPr>
        <w:tc>
          <w:tcPr>
            <w:tcW w:w="4625" w:type="dxa"/>
            <w:tcBorders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b/>
                <w:b/>
                <w:color w:val="FFFFFF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2D050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  <w:t>INSTRUMENTS D’AVALUACIÓ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92D050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color w:val="FFFFFF"/>
                <w:sz w:val="22"/>
                <w:szCs w:val="22"/>
                <w:lang w:val="ca-ES"/>
              </w:rPr>
              <w:t>PONDERACIONS</w:t>
            </w:r>
          </w:p>
        </w:tc>
      </w:tr>
      <w:tr>
        <w:trPr>
          <w:trHeight w:val="711" w:hRule="atLeast"/>
        </w:trPr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2EFD9" w:val="clear"/>
            <w:vAlign w:val="cente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sz w:val="20"/>
                <w:szCs w:val="20"/>
                <w:lang w:val="ca-ES"/>
              </w:rPr>
              <w:t>COMPETÈNCIES específiques de matèria treballades  aquest curs/nivell</w:t>
            </w:r>
          </w:p>
        </w:tc>
        <w:tc>
          <w:tcPr>
            <w:tcW w:w="4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rFonts w:ascii="Century Gothic" w:hAnsi="Century Gothic" w:eastAsia="Century Gothic" w:cs="Century Gothic"/>
                <w:b/>
                <w:b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b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Proves competencials (orals/escrites)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Comentaris de text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Portafolis/producte final  (autoavaluació/co-avaluació)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both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60%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20%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708" w:leader="none"/>
                <w:tab w:val="left" w:pos="1416" w:leader="none"/>
                <w:tab w:val="left" w:pos="2124" w:leader="none"/>
                <w:tab w:val="left" w:pos="2832" w:leader="none"/>
                <w:tab w:val="left" w:pos="3540" w:leader="none"/>
                <w:tab w:val="left" w:pos="4248" w:leader="none"/>
                <w:tab w:val="left" w:pos="4956" w:leader="none"/>
                <w:tab w:val="left" w:pos="5664" w:leader="none"/>
                <w:tab w:val="left" w:pos="6372" w:leader="none"/>
                <w:tab w:val="left" w:pos="7080" w:leader="none"/>
                <w:tab w:val="left" w:pos="7788" w:leader="none"/>
                <w:tab w:val="left" w:pos="8496" w:leader="none"/>
              </w:tabs>
              <w:ind w:left="0" w:hanging="2"/>
              <w:jc w:val="center"/>
              <w:rPr>
                <w:rFonts w:ascii="Century Gothic" w:hAnsi="Century Gothic" w:eastAsia="Century Gothic" w:cs="Century Gothic"/>
                <w:sz w:val="22"/>
                <w:szCs w:val="22"/>
                <w:lang w:val="ca-ES"/>
              </w:rPr>
            </w:pPr>
            <w:r>
              <w:rPr>
                <w:rFonts w:eastAsia="Century Gothic" w:cs="Century Gothic" w:ascii="Century Gothic" w:hAnsi="Century Gothic"/>
                <w:sz w:val="22"/>
                <w:szCs w:val="22"/>
                <w:lang w:val="ca-ES"/>
              </w:rPr>
              <w:t>20%</w:t>
            </w:r>
          </w:p>
        </w:tc>
      </w:tr>
    </w:tbl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Observacions rellevants dels instruments d’avaluació emprats.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b/>
          <w:b/>
          <w:i/>
          <w:i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i/>
          <w:color w:val="00B0F0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Per aprovar el trimestre caldrà haver superat ≥50% la suma de les competències seleccionades.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b/>
          <w:b/>
          <w:i/>
          <w:i/>
          <w:color w:val="FF2712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i/>
          <w:color w:val="FF2712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 xml:space="preserve">Justificació d’absència el dia d’una prova o examen. 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color w:val="000000"/>
          <w:sz w:val="22"/>
          <w:szCs w:val="22"/>
          <w:lang w:val="ca-ES"/>
        </w:rPr>
        <w:t>Si un alumne falta a un examen, cal que presenti certificat mèdic o justifiqui la seva absència en cas de força major. No es podrà repetir cap examen a un alumne/a sense que aquest justificant sigui lliurat al tutor/a, i a la vegada, comunicat a cap d’estudis i/o la coordinació de batxillerat.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color w:val="000000"/>
          <w:sz w:val="22"/>
          <w:szCs w:val="22"/>
          <w:lang w:val="ca-ES"/>
        </w:rPr>
        <w:t>No es pot faltar les hores prèvies a un examen. Si es produeix aquest fet sense cap causa justificable, i l’alumne acudeix a fer l’examen a l’hora programada, aquest no tindrà dret a fer-lo.  L’alumne haurà de fer directament la recuperació establerta segons els criteris d’avaluació de la matèria. Si ja ha fet l’examen i es prova que ha faltat les hores prèvies sense cap justificació, l’examen en qüestió no serà corregit i l’alumne s’haurà de presentar a l’activitat de recuperació establerta dins els criteris d’avaluació de la matèria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color w:val="FF000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color w:val="FF0000"/>
          <w:sz w:val="22"/>
          <w:szCs w:val="22"/>
          <w:lang w:val="ca-ES"/>
        </w:rPr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Activitats de recuperació trimestral</w:t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En cas de no superar el trimestre, l’alumne/-a haurà de lliurar les tasques pendents i superar la prova o proves competencials corresponents.</w:t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b/>
          <w:b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b/>
          <w:b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Prova de millora</w:t>
      </w:r>
    </w:p>
    <w:p>
      <w:pPr>
        <w:pStyle w:val="Normal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Prova adreçada als alumnes que superen la matèria, però que volen pujar nota. Abarca tota la matèria incloent-hi  un apartat d’activitats competencials i un altre de comentari de text.</w:t>
      </w:r>
    </w:p>
    <w:p>
      <w:pPr>
        <w:pStyle w:val="Normal"/>
        <w:keepNext w:val="true"/>
        <w:widowControl w:val="false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spacing w:lineRule="auto" w:line="240" w:before="240" w:after="60"/>
        <w:ind w:left="0" w:hanging="2"/>
        <w:jc w:val="both"/>
        <w:rPr>
          <w:rFonts w:ascii="Times" w:hAnsi="Times" w:eastAsia="Times" w:cs="Times"/>
          <w:b/>
          <w:b/>
          <w:color w:val="000000"/>
          <w:sz w:val="26"/>
          <w:szCs w:val="26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Nota final contínua (juny)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La nota de la final contínua s’obté a partir de les notes obtingudes en els diferents trimestres segons: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both"/>
        <w:rPr>
          <w:rFonts w:ascii="Century Gothic" w:hAnsi="Century Gothic" w:eastAsia="Century Gothic" w:cs="Century Gothic"/>
          <w:i/>
          <w:i/>
          <w:color w:val="00B05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i/>
          <w:color w:val="00B050"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center"/>
        <w:rPr>
          <w:lang w:val="ca-ES"/>
        </w:rPr>
      </w:pPr>
      <w:r>
        <w:rPr>
          <w:rFonts w:eastAsia="Century Gothic" w:cs="Century Gothic" w:ascii="Century Gothic" w:hAnsi="Century Gothic"/>
          <w:i/>
          <w:color w:val="FF0000"/>
          <w:sz w:val="22"/>
          <w:szCs w:val="22"/>
          <w:lang w:val="ca-ES"/>
        </w:rPr>
        <w:t xml:space="preserve">QF = </w:t>
      </w:r>
      <w:r>
        <w:rPr>
          <w:rFonts w:eastAsia="Century Gothic" w:cs="Century Gothic" w:ascii="Century Gothic" w:hAnsi="Century Gothic"/>
          <w:i/>
          <w:color w:val="FF0000"/>
          <w:sz w:val="22"/>
          <w:szCs w:val="22"/>
          <w:u w:val="single"/>
          <w:lang w:val="ca-ES"/>
        </w:rPr>
        <w:t>QT1 + QT2  + QT3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center"/>
        <w:rPr>
          <w:lang w:val="ca-ES"/>
        </w:rPr>
      </w:pPr>
      <w:r>
        <w:rPr>
          <w:rFonts w:eastAsia="Century Gothic" w:cs="Century Gothic" w:ascii="Century Gothic" w:hAnsi="Century Gothic"/>
          <w:i/>
          <w:color w:val="FF0000"/>
          <w:sz w:val="22"/>
          <w:szCs w:val="22"/>
          <w:lang w:val="ca-ES"/>
        </w:rPr>
        <w:t>3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jc w:val="center"/>
        <w:rPr>
          <w:rFonts w:ascii="Century Gothic" w:hAnsi="Century Gothic" w:eastAsia="Century Gothic" w:cs="Century Gothic"/>
          <w:i/>
          <w:i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  <w:t>QF = qualificació final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  <w:t>QT1 = qualificació del primer trimestre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  <w:t>QT2 = qualificació del segon trimestre</w:t>
      </w:r>
    </w:p>
    <w:p>
      <w:pPr>
        <w:pStyle w:val="Normal"/>
        <w:tabs>
          <w:tab w:val="clear" w:pos="709"/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  <w:tab w:val="left" w:pos="8496" w:leader="none"/>
        </w:tabs>
        <w:ind w:left="0" w:hanging="2"/>
        <w:rPr>
          <w:lang w:val="ca-ES"/>
        </w:rPr>
      </w:pPr>
      <w:r>
        <w:rPr>
          <w:rFonts w:eastAsia="Century Gothic" w:cs="Century Gothic" w:ascii="Century Gothic" w:hAnsi="Century Gothic"/>
          <w:i/>
          <w:sz w:val="22"/>
          <w:szCs w:val="22"/>
          <w:lang w:val="ca-ES"/>
        </w:rPr>
        <w:t>QT3 = qualificació del tercer trimestre</w:t>
      </w:r>
    </w:p>
    <w:p>
      <w:pPr>
        <w:pStyle w:val="Normal"/>
        <w:spacing w:before="0" w:after="240"/>
        <w:ind w:left="0" w:hanging="2"/>
        <w:jc w:val="both"/>
        <w:rPr>
          <w:rFonts w:ascii="Century Gothic" w:hAnsi="Century Gothic" w:eastAsia="Century Gothic" w:cs="Century Gothic"/>
          <w:b/>
          <w:b/>
          <w:color w:val="00B0F0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AVALUACIÓ EXTRAORDINÀRIA (JUNY)</w:t>
      </w:r>
    </w:p>
    <w:p>
      <w:pPr>
        <w:pStyle w:val="Normal"/>
        <w:numPr>
          <w:ilvl w:val="0"/>
          <w:numId w:val="1"/>
        </w:numPr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Fer una prova competencial escita de tota la matèria pendent: 70% de la nota.</w:t>
      </w:r>
    </w:p>
    <w:p>
      <w:pPr>
        <w:pStyle w:val="Normal"/>
        <w:numPr>
          <w:ilvl w:val="0"/>
          <w:numId w:val="1"/>
        </w:numPr>
        <w:spacing w:before="0" w:after="240"/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sz w:val="22"/>
          <w:szCs w:val="22"/>
          <w:lang w:val="ca-ES"/>
        </w:rPr>
        <w:t>Lliurar les activitats pendents o també les proposades per la professora com a requisit per presentar-se a la prova competencial escrita: 30% de la nota.</w:t>
      </w:r>
    </w:p>
    <w:p>
      <w:pPr>
        <w:pStyle w:val="Normal"/>
        <w:spacing w:before="0" w:after="240"/>
        <w:ind w:left="0" w:hanging="2"/>
        <w:jc w:val="both"/>
        <w:rPr>
          <w:rFonts w:ascii="Century Gothic" w:hAnsi="Century Gothic" w:eastAsia="Century Gothic" w:cs="Century Gothic"/>
          <w:sz w:val="22"/>
          <w:szCs w:val="22"/>
          <w:lang w:val="ca-ES"/>
        </w:rPr>
      </w:pPr>
      <w:r>
        <w:rPr>
          <w:rFonts w:eastAsia="Century Gothic" w:cs="Century Gothic" w:ascii="Century Gothic" w:hAnsi="Century Gothic"/>
          <w:b/>
          <w:color w:val="00B0F0"/>
          <w:sz w:val="22"/>
          <w:szCs w:val="22"/>
          <w:lang w:val="ca-ES"/>
        </w:rPr>
        <w:t>RECUPERACIÓ MATÈRIA PENDENT CURSOS ANTERIORS</w:t>
        <w:tab/>
        <w:tab/>
      </w:r>
      <w:r>
        <w:rPr>
          <w:rFonts w:eastAsia="Century Gothic" w:cs="Century Gothic" w:ascii="Century Gothic" w:hAnsi="Century Gothic"/>
          <w:sz w:val="22"/>
          <w:szCs w:val="22"/>
          <w:lang w:val="ca-ES"/>
        </w:rPr>
        <w:t>No procedeix.</w:t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9" w:top="1418" w:footer="709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imes">
    <w:altName w:val="Times New Roman"/>
    <w:charset w:val="00"/>
    <w:family w:val="roman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Courier New">
    <w:charset w:val="00"/>
    <w:family w:val="roman"/>
    <w:pitch w:val="variable"/>
  </w:font>
  <w:font w:name="Wingdings">
    <w:charset w:val="00"/>
    <w:family w:val="roman"/>
    <w:pitch w:val="variable"/>
    <w:embedRegular r:id="rId14" w:fontKey="{0E014A78-CABC-4EF0-12AC-5CD89AEFDE0E}"/>
  </w:font>
  <w:font w:name="Lucida Grande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Century Gothic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76"/>
      <w:ind w:left="0" w:hanging="2"/>
      <w:rPr/>
    </w:pPr>
    <w:r>
      <w:rPr/>
    </w:r>
  </w:p>
  <w:tbl>
    <w:tblPr>
      <w:tblStyle w:val="a2"/>
      <w:tblW w:w="970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0" w:noVBand="0" w:lastRow="0" w:firstColumn="0" w:lastColumn="0" w:noHBand="0" w:val="0000"/>
    </w:tblPr>
    <w:tblGrid>
      <w:gridCol w:w="692"/>
      <w:gridCol w:w="2302"/>
      <w:gridCol w:w="1126"/>
      <w:gridCol w:w="1013"/>
      <w:gridCol w:w="1980"/>
      <w:gridCol w:w="572"/>
      <w:gridCol w:w="1263"/>
      <w:gridCol w:w="758"/>
    </w:tblGrid>
    <w:tr>
      <w:trPr>
        <w:trHeight w:val="294" w:hRule="atLeast"/>
        <w:cantSplit w:val="true"/>
      </w:trPr>
      <w:tc>
        <w:tcPr>
          <w:tcW w:w="692" w:type="dxa"/>
          <w:vMerge w:val="restart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rFonts w:ascii="Arial" w:hAnsi="Arial" w:eastAsia="Arial" w:cs="Arial"/>
              <w:color w:val="808080"/>
              <w:sz w:val="16"/>
              <w:szCs w:val="16"/>
            </w:rPr>
          </w:pPr>
          <w:r>
            <w:rPr/>
            <w:drawing>
              <wp:inline distT="0" distB="0" distL="0" distR="0">
                <wp:extent cx="277495" cy="314325"/>
                <wp:effectExtent l="0" t="0" r="0" b="0"/>
                <wp:docPr id="2" name="image2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49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2" w:type="dxa"/>
          <w:vMerge w:val="restart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 xml:space="preserve">Generalitat de Catalunya </w:t>
          </w:r>
        </w:p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Departament d’Educació</w:t>
          </w:r>
        </w:p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b/>
              <w:color w:val="808080"/>
              <w:sz w:val="16"/>
              <w:szCs w:val="16"/>
            </w:rPr>
            <w:t>Institut Baix Camp</w:t>
          </w:r>
        </w:p>
      </w:tc>
      <w:tc>
        <w:tcPr>
          <w:tcW w:w="1126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  <w:lang w:val="ca-ES"/>
            </w:rPr>
            <w:t>05/09/2025</w:t>
          </w:r>
        </w:p>
      </w:tc>
      <w:tc>
        <w:tcPr>
          <w:tcW w:w="1013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right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Arxiu</w:t>
          </w:r>
        </w:p>
      </w:tc>
      <w:tc>
        <w:tcPr>
          <w:tcW w:w="3815" w:type="dxa"/>
          <w:gridSpan w:val="3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Model criteris qualificació BATX</w:t>
          </w:r>
        </w:p>
      </w:tc>
      <w:tc>
        <w:tcPr>
          <w:tcW w:w="758" w:type="dxa"/>
          <w:vMerge w:val="restart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rFonts w:ascii="Arial" w:hAnsi="Arial" w:eastAsia="Arial" w:cs="Arial"/>
              <w:b/>
              <w:b/>
              <w:color w:val="808080"/>
              <w:sz w:val="16"/>
              <w:szCs w:val="16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fldChar w:fldCharType="begin"/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instrText> PAGE </w:instrText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fldChar w:fldCharType="separate"/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t>2</w:t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fldChar w:fldCharType="end"/>
          </w:r>
          <w:r>
            <w:rPr>
              <w:rFonts w:eastAsia="Arial" w:cs="Arial" w:ascii="Arial" w:hAnsi="Arial"/>
              <w:color w:val="808080"/>
              <w:sz w:val="16"/>
              <w:szCs w:val="16"/>
            </w:rPr>
            <w:t xml:space="preserve"> </w:t>
          </w:r>
          <w:r>
            <w:rPr>
              <w:rFonts w:eastAsia="Arial" w:cs="Arial" w:ascii="Arial" w:hAnsi="Arial"/>
              <w:color w:val="808080"/>
              <w:sz w:val="16"/>
              <w:szCs w:val="16"/>
            </w:rPr>
            <w:t xml:space="preserve">de </w:t>
          </w:r>
          <w:r>
            <w:rPr>
              <w:rFonts w:eastAsia="Arial" w:cs="Arial" w:ascii="Arial" w:hAnsi="Arial"/>
              <w:color w:val="808080"/>
              <w:sz w:val="16"/>
              <w:szCs w:val="16"/>
            </w:rPr>
            <w:fldChar w:fldCharType="begin"/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instrText> NUMPAGES </w:instrText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fldChar w:fldCharType="separate"/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t>2</w:t>
          </w:r>
          <w:r>
            <w:rPr>
              <w:sz w:val="16"/>
              <w:szCs w:val="16"/>
              <w:rFonts w:eastAsia="Arial" w:cs="Arial" w:ascii="Arial" w:hAnsi="Arial"/>
              <w:color w:val="808080"/>
            </w:rPr>
            <w:fldChar w:fldCharType="end"/>
          </w:r>
        </w:p>
      </w:tc>
    </w:tr>
    <w:tr>
      <w:trPr>
        <w:trHeight w:val="294" w:hRule="atLeast"/>
        <w:cantSplit w:val="true"/>
      </w:trPr>
      <w:tc>
        <w:tcPr>
          <w:tcW w:w="692" w:type="dxa"/>
          <w:vMerge w:val="continue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</w:tcPr>
        <w:p>
          <w:pPr>
            <w:pStyle w:val="Normal"/>
            <w:widowControl w:val="false"/>
            <w:spacing w:lineRule="auto" w:line="276"/>
            <w:ind w:left="0" w:hanging="2"/>
            <w:rPr>
              <w:rFonts w:ascii="Arial" w:hAnsi="Arial" w:eastAsia="Arial" w:cs="Arial"/>
              <w:b/>
              <w:b/>
              <w:color w:val="808080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808080"/>
              <w:sz w:val="16"/>
              <w:szCs w:val="16"/>
            </w:rPr>
          </w:r>
        </w:p>
      </w:tc>
      <w:tc>
        <w:tcPr>
          <w:tcW w:w="2302" w:type="dxa"/>
          <w:vMerge w:val="continue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spacing w:lineRule="auto" w:line="276"/>
            <w:ind w:left="0" w:hanging="2"/>
            <w:rPr>
              <w:rFonts w:ascii="Arial" w:hAnsi="Arial" w:eastAsia="Arial" w:cs="Arial"/>
              <w:b/>
              <w:b/>
              <w:color w:val="808080"/>
              <w:sz w:val="16"/>
              <w:szCs w:val="16"/>
            </w:rPr>
          </w:pPr>
          <w:r>
            <w:rPr>
              <w:rFonts w:eastAsia="Arial" w:cs="Arial" w:ascii="Arial" w:hAnsi="Arial"/>
              <w:b/>
              <w:color w:val="808080"/>
              <w:sz w:val="16"/>
              <w:szCs w:val="16"/>
            </w:rPr>
          </w:r>
        </w:p>
      </w:tc>
      <w:tc>
        <w:tcPr>
          <w:tcW w:w="1126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versió  1</w:t>
          </w:r>
        </w:p>
      </w:tc>
      <w:tc>
        <w:tcPr>
          <w:tcW w:w="1013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right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Elaborat</w:t>
          </w:r>
        </w:p>
      </w:tc>
      <w:tc>
        <w:tcPr>
          <w:tcW w:w="1980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 xml:space="preserve">Coordinació pedagògica </w:t>
          </w:r>
        </w:p>
      </w:tc>
      <w:tc>
        <w:tcPr>
          <w:tcW w:w="572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Codi</w:t>
          </w:r>
        </w:p>
      </w:tc>
      <w:tc>
        <w:tcPr>
          <w:tcW w:w="1263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center" w:pos="4252" w:leader="none"/>
              <w:tab w:val="right" w:pos="8504" w:leader="none"/>
            </w:tabs>
            <w:spacing w:lineRule="auto" w:line="240"/>
            <w:ind w:left="0" w:hanging="2"/>
            <w:jc w:val="center"/>
            <w:rPr>
              <w:color w:val="000000"/>
            </w:rPr>
          </w:pPr>
          <w:r>
            <w:rPr>
              <w:rFonts w:eastAsia="Arial" w:cs="Arial" w:ascii="Arial" w:hAnsi="Arial"/>
              <w:color w:val="808080"/>
              <w:sz w:val="16"/>
              <w:szCs w:val="16"/>
            </w:rPr>
            <w:t>MO-PRO088</w:t>
          </w:r>
        </w:p>
      </w:tc>
      <w:tc>
        <w:tcPr>
          <w:tcW w:w="758" w:type="dxa"/>
          <w:vMerge w:val="continue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shd w:color="auto" w:fill="auto" w:val="clear"/>
          <w:vAlign w:val="center"/>
        </w:tcPr>
        <w:p>
          <w:pPr>
            <w:pStyle w:val="Normal"/>
            <w:widowControl w:val="false"/>
            <w:spacing w:lineRule="auto" w:line="276"/>
            <w:ind w:left="0" w:hanging="2"/>
            <w:rPr>
              <w:color w:val="000000"/>
            </w:rPr>
          </w:pPr>
          <w:r>
            <w:rPr>
              <w:color w:val="000000"/>
            </w:rPr>
          </w:r>
        </w:p>
      </w:tc>
    </w:tr>
  </w:tbl>
  <w:p>
    <w:pPr>
      <w:pStyle w:val="Normal"/>
      <w:tabs>
        <w:tab w:val="clear" w:pos="709"/>
        <w:tab w:val="center" w:pos="4252" w:leader="none"/>
        <w:tab w:val="right" w:pos="8504" w:leader="none"/>
      </w:tabs>
      <w:spacing w:lineRule="auto" w:line="240"/>
      <w:ind w:left="0" w:hanging="2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76"/>
      <w:ind w:left="0" w:hanging="2"/>
      <w:rPr/>
    </w:pPr>
    <w:r>
      <w:rPr/>
    </w:r>
  </w:p>
  <w:tbl>
    <w:tblPr>
      <w:tblStyle w:val="a1"/>
      <w:tblW w:w="9180" w:type="dxa"/>
      <w:jc w:val="left"/>
      <w:tblInd w:w="38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0" w:noVBand="0" w:lastRow="0" w:firstColumn="0" w:lastColumn="0" w:noHBand="0" w:val="0000"/>
    </w:tblPr>
    <w:tblGrid>
      <w:gridCol w:w="3060"/>
      <w:gridCol w:w="1798"/>
      <w:gridCol w:w="4322"/>
    </w:tblGrid>
    <w:tr>
      <w:trPr>
        <w:trHeight w:val="537" w:hRule="atLeast"/>
      </w:trPr>
      <w:tc>
        <w:tcPr>
          <w:tcW w:w="3060" w:type="dxa"/>
          <w:vMerge w:val="restart"/>
          <w:tcBorders/>
          <w:shd w:color="auto" w:fill="auto" w:val="clear"/>
          <w:vAlign w:val="center"/>
        </w:tcPr>
        <w:p>
          <w:pPr>
            <w:pStyle w:val="Normal"/>
            <w:widowControl w:val="false"/>
            <w:tabs>
              <w:tab w:val="clear" w:pos="709"/>
              <w:tab w:val="left" w:pos="567" w:leader="none"/>
            </w:tabs>
            <w:ind w:left="0" w:hanging="2"/>
            <w:rPr>
              <w:color w:val="333333"/>
            </w:rPr>
          </w:pPr>
          <w:r>
            <w:rPr>
              <w:color w:val="333333"/>
            </w:rPr>
            <w:drawing>
              <wp:anchor behindDoc="1" distT="0" distB="0" distL="114935" distR="114935" simplePos="0" locked="0" layoutInCell="1" allowOverlap="1" relativeHeight="5">
                <wp:simplePos x="0" y="0"/>
                <wp:positionH relativeFrom="column">
                  <wp:posOffset>-809625</wp:posOffset>
                </wp:positionH>
                <wp:positionV relativeFrom="paragraph">
                  <wp:posOffset>-1905</wp:posOffset>
                </wp:positionV>
                <wp:extent cx="808990" cy="808990"/>
                <wp:effectExtent l="0" t="0" r="0" b="0"/>
                <wp:wrapSquare wrapText="bothSides"/>
                <wp:docPr id="1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71" t="-71" r="-71" b="-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8990" cy="80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20" w:type="dxa"/>
          <w:gridSpan w:val="2"/>
          <w:tcBorders/>
          <w:shd w:color="auto" w:fill="auto" w:val="clear"/>
          <w:vAlign w:val="center"/>
        </w:tcPr>
        <w:p>
          <w:pPr>
            <w:pStyle w:val="Normal"/>
            <w:keepNext w:val="true"/>
            <w:widowControl w:val="false"/>
            <w:numPr>
              <w:ilvl w:val="0"/>
              <w:numId w:val="2"/>
            </w:numPr>
            <w:spacing w:lineRule="auto" w:line="240"/>
            <w:ind w:left="-1" w:hanging="2"/>
            <w:jc w:val="center"/>
            <w:rPr>
              <w:rFonts w:ascii="Arial" w:hAnsi="Arial" w:eastAsia="Arial" w:cs="Arial"/>
              <w:b/>
              <w:b/>
              <w:color w:val="000000"/>
              <w:sz w:val="32"/>
              <w:szCs w:val="32"/>
            </w:rPr>
          </w:pPr>
          <w:r>
            <w:rPr>
              <w:rFonts w:eastAsia="Century Gothic" w:cs="Century Gothic" w:ascii="Century Gothic" w:hAnsi="Century Gothic"/>
              <w:b/>
              <w:color w:val="333333"/>
              <w:sz w:val="20"/>
              <w:szCs w:val="20"/>
            </w:rPr>
            <w:t xml:space="preserve">          </w:t>
          </w:r>
          <w:r>
            <w:rPr>
              <w:rFonts w:eastAsia="Century Gothic" w:cs="Century Gothic" w:ascii="Century Gothic" w:hAnsi="Century Gothic"/>
              <w:b/>
              <w:color w:val="333333"/>
              <w:sz w:val="20"/>
              <w:szCs w:val="20"/>
            </w:rPr>
            <w:t>CRITERIS DE QUALIFICACIÓ BATX</w:t>
          </w:r>
        </w:p>
      </w:tc>
    </w:tr>
    <w:tr>
      <w:trPr>
        <w:trHeight w:val="253" w:hRule="atLeast"/>
      </w:trPr>
      <w:tc>
        <w:tcPr>
          <w:tcW w:w="3060" w:type="dxa"/>
          <w:vMerge w:val="continue"/>
          <w:tcBorders/>
          <w:shd w:color="auto" w:fill="auto" w:val="clear"/>
          <w:vAlign w:val="center"/>
        </w:tcPr>
        <w:p>
          <w:pPr>
            <w:pStyle w:val="Normal"/>
            <w:widowControl w:val="false"/>
            <w:spacing w:lineRule="auto" w:line="276"/>
            <w:ind w:left="1" w:hanging="3"/>
            <w:rPr>
              <w:rFonts w:ascii="Arial" w:hAnsi="Arial" w:eastAsia="Arial" w:cs="Arial"/>
              <w:b/>
              <w:b/>
              <w:color w:val="000000"/>
              <w:sz w:val="32"/>
              <w:szCs w:val="32"/>
            </w:rPr>
          </w:pPr>
          <w:r>
            <w:rPr>
              <w:rFonts w:eastAsia="Arial" w:cs="Arial" w:ascii="Arial" w:hAnsi="Arial"/>
              <w:b/>
              <w:color w:val="000000"/>
              <w:sz w:val="32"/>
              <w:szCs w:val="32"/>
            </w:rPr>
          </w:r>
        </w:p>
      </w:tc>
      <w:tc>
        <w:tcPr>
          <w:tcW w:w="1798" w:type="dxa"/>
          <w:tcBorders/>
          <w:shd w:color="auto" w:fill="auto" w:val="clear"/>
          <w:vAlign w:val="center"/>
        </w:tcPr>
        <w:p>
          <w:pPr>
            <w:pStyle w:val="Normal"/>
            <w:widowControl w:val="false"/>
            <w:ind w:left="0" w:hanging="2"/>
            <w:rPr/>
          </w:pPr>
          <w:r>
            <w:rPr>
              <w:rFonts w:eastAsia="Century Gothic" w:cs="Century Gothic" w:ascii="Century Gothic" w:hAnsi="Century Gothic"/>
              <w:color w:val="333333"/>
              <w:sz w:val="18"/>
              <w:szCs w:val="18"/>
            </w:rPr>
            <w:t>Matèria</w:t>
          </w:r>
        </w:p>
      </w:tc>
      <w:tc>
        <w:tcPr>
          <w:tcW w:w="4322" w:type="dxa"/>
          <w:tcBorders/>
          <w:shd w:color="auto" w:fill="auto" w:val="clear"/>
          <w:vAlign w:val="center"/>
        </w:tcPr>
        <w:p>
          <w:pPr>
            <w:pStyle w:val="Normal"/>
            <w:widowControl w:val="false"/>
            <w:ind w:left="0" w:hanging="2"/>
            <w:rPr/>
          </w:pPr>
          <w:r>
            <w:rPr>
              <w:rFonts w:eastAsia="Century Gothic" w:cs="Century Gothic" w:ascii="Century Gothic" w:hAnsi="Century Gothic"/>
              <w:color w:val="333333"/>
              <w:sz w:val="18"/>
              <w:szCs w:val="18"/>
            </w:rPr>
            <w:t>Literatura Universal</w:t>
          </w:r>
        </w:p>
      </w:tc>
    </w:tr>
    <w:tr>
      <w:trPr>
        <w:trHeight w:val="403" w:hRule="atLeast"/>
      </w:trPr>
      <w:tc>
        <w:tcPr>
          <w:tcW w:w="3060" w:type="dxa"/>
          <w:vMerge w:val="continue"/>
          <w:tcBorders/>
          <w:shd w:color="auto" w:fill="auto" w:val="clear"/>
          <w:vAlign w:val="center"/>
        </w:tcPr>
        <w:p>
          <w:pPr>
            <w:pStyle w:val="Normal"/>
            <w:widowControl w:val="false"/>
            <w:spacing w:lineRule="auto" w:line="276"/>
            <w:ind w:left="0" w:hanging="2"/>
            <w:rPr/>
          </w:pPr>
          <w:r>
            <w:rPr/>
          </w:r>
        </w:p>
      </w:tc>
      <w:tc>
        <w:tcPr>
          <w:tcW w:w="1798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Normal"/>
            <w:widowControl w:val="false"/>
            <w:ind w:left="0" w:hanging="2"/>
            <w:rPr/>
          </w:pPr>
          <w:r>
            <w:rPr>
              <w:rFonts w:eastAsia="Century Gothic" w:cs="Century Gothic" w:ascii="Century Gothic" w:hAnsi="Century Gothic"/>
              <w:color w:val="333333"/>
              <w:sz w:val="18"/>
              <w:szCs w:val="18"/>
            </w:rPr>
            <w:t>Nivell</w:t>
          </w:r>
        </w:p>
      </w:tc>
      <w:tc>
        <w:tcPr>
          <w:tcW w:w="4322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Normal"/>
            <w:widowControl w:val="false"/>
            <w:ind w:left="0" w:hanging="2"/>
            <w:rPr/>
          </w:pPr>
          <w:r>
            <w:rPr>
              <w:rFonts w:eastAsia="Century Gothic" w:cs="Century Gothic" w:ascii="Century Gothic" w:hAnsi="Century Gothic"/>
              <w:color w:val="333333"/>
              <w:sz w:val="18"/>
              <w:szCs w:val="18"/>
            </w:rPr>
            <w:t>1r BAT</w:t>
          </w:r>
        </w:p>
      </w:tc>
    </w:tr>
  </w:tbl>
  <w:p>
    <w:pPr>
      <w:pStyle w:val="Normal"/>
      <w:tabs>
        <w:tab w:val="clear" w:pos="709"/>
        <w:tab w:val="center" w:pos="4252" w:leader="none"/>
        <w:tab w:val="right" w:pos="8504" w:leader="none"/>
      </w:tabs>
      <w:spacing w:lineRule="auto" w:line="240"/>
      <w:ind w:left="0" w:hanging="2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>
        <w:vertAlign w:val="baseline"/>
        <w:position w:val="0"/>
        <w:sz w:val="24"/>
        <w:sz w:val="24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ca-ES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tLeast" w:line="1" w:before="0" w:after="0"/>
      <w:ind w:left="-1" w:hanging="1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kern w:val="0"/>
      <w:sz w:val="24"/>
      <w:szCs w:val="24"/>
      <w:vertAlign w:val="subscript"/>
      <w:lang w:val="es-ES" w:eastAsia="zh-CN" w:bidi="ar-SA"/>
    </w:rPr>
  </w:style>
  <w:style w:type="paragraph" w:styleId="Encapalament1" w:customStyle="1">
    <w:name w:val="Heading 1"/>
    <w:basedOn w:val="Normal"/>
    <w:next w:val="Normal"/>
    <w:qFormat/>
    <w:pPr>
      <w:keepNext w:val="true"/>
      <w:spacing w:before="240" w:after="60"/>
      <w:ind w:left="-1" w:hanging="1"/>
    </w:pPr>
    <w:rPr>
      <w:rFonts w:ascii="Arial" w:hAnsi="Arial" w:cs="Arial"/>
      <w:b/>
      <w:bCs/>
      <w:kern w:val="2"/>
      <w:sz w:val="32"/>
      <w:szCs w:val="32"/>
      <w:lang w:val="ca-ES"/>
    </w:rPr>
  </w:style>
  <w:style w:type="paragraph" w:styleId="Encapalament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Encapalament3" w:customStyle="1">
    <w:name w:val="Heading 3"/>
    <w:basedOn w:val="Normal"/>
    <w:next w:val="Normal"/>
    <w:qFormat/>
    <w:pPr>
      <w:keepNext w:val="true"/>
      <w:widowControl w:val="false"/>
      <w:spacing w:before="240" w:after="60"/>
      <w:ind w:left="-1" w:hanging="1"/>
      <w:outlineLvl w:val="2"/>
    </w:pPr>
    <w:rPr>
      <w:rFonts w:ascii="Times" w:hAnsi="Times" w:eastAsia="DejaVu Sans" w:cs="Arial"/>
      <w:b/>
      <w:bCs/>
      <w:kern w:val="2"/>
      <w:sz w:val="26"/>
      <w:szCs w:val="26"/>
      <w:lang w:val="ca-ES"/>
    </w:rPr>
  </w:style>
  <w:style w:type="paragraph" w:styleId="Encapalament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Encapalament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Encapalament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 w:customStyle="1">
    <w:name w:val="WW8Num2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1" w:customStyle="1">
    <w:name w:val="WW8Num2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2z2" w:customStyle="1">
    <w:name w:val="WW8Num2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0" w:customStyle="1">
    <w:name w:val="WW8Num3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1" w:customStyle="1">
    <w:name w:val="WW8Num3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3z2" w:customStyle="1">
    <w:name w:val="WW8Num3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4z0" w:customStyle="1">
    <w:name w:val="WW8Num4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4z1" w:customStyle="1">
    <w:name w:val="WW8Num4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4z2" w:customStyle="1">
    <w:name w:val="WW8Num4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5z0" w:customStyle="1">
    <w:name w:val="WW8Num5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5z1" w:customStyle="1">
    <w:name w:val="WW8Num5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5z2" w:customStyle="1">
    <w:name w:val="WW8Num5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0" w:customStyle="1">
    <w:name w:val="WW8Num6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1" w:customStyle="1">
    <w:name w:val="WW8Num6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6z2" w:customStyle="1">
    <w:name w:val="WW8Num6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0" w:customStyle="1">
    <w:name w:val="WW8Num7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1" w:customStyle="1">
    <w:name w:val="WW8Num7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7z2" w:customStyle="1">
    <w:name w:val="WW8Num7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0" w:customStyle="1">
    <w:name w:val="WW8Num8z0"/>
    <w:qFormat/>
    <w:rPr>
      <w:rFonts w:ascii="Lucida Grande" w:hAnsi="Lucida Grande" w:eastAsia="ヒラギノ角ゴ Pro W3" w:cs="Symbol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1" w:customStyle="1">
    <w:name w:val="WW8Num8z1"/>
    <w:qFormat/>
    <w:rPr>
      <w:rFonts w:ascii="Courier New" w:hAnsi="Courier New" w:eastAsia="ヒラギノ角ゴ Pro W3" w:cs="Courier New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8z2" w:customStyle="1">
    <w:name w:val="WW8Num8z2"/>
    <w:qFormat/>
    <w:rPr>
      <w:rFonts w:ascii="Wingdings" w:hAnsi="Wingdings" w:eastAsia="ヒラギノ角ゴ Pro W3" w:cs="Wingdings"/>
      <w:color w:val="000000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0" w:customStyle="1">
    <w:name w:val="WW8Num9z0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2" w:customStyle="1">
    <w:name w:val="WW8Num9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9z3" w:customStyle="1">
    <w:name w:val="WW8Num9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0" w:customStyle="1">
    <w:name w:val="WW8Num10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1" w:customStyle="1">
    <w:name w:val="WW8Num10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0z2" w:customStyle="1">
    <w:name w:val="WW8Num10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0" w:customStyle="1">
    <w:name w:val="WW8Num11z0"/>
    <w:qFormat/>
    <w:rPr>
      <w:rFonts w:ascii="Symbol" w:hAnsi="Symbol" w:eastAsia="Times New Roman" w:cs="Aria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1" w:customStyle="1">
    <w:name w:val="WW8Num11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2" w:customStyle="1">
    <w:name w:val="WW8Num11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1z3" w:customStyle="1">
    <w:name w:val="WW8Num11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0" w:customStyle="1">
    <w:name w:val="WW8Num12z0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1" w:customStyle="1">
    <w:name w:val="WW8Num12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2z3" w:customStyle="1">
    <w:name w:val="WW8Num12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0" w:customStyle="1">
    <w:name w:val="WW8Num13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1" w:customStyle="1">
    <w:name w:val="WW8Num13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3z2" w:customStyle="1">
    <w:name w:val="WW8Num13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4z0" w:customStyle="1">
    <w:name w:val="WW8Num14z0"/>
    <w:qFormat/>
    <w:rPr>
      <w:rFonts w:ascii="Symbol" w:hAnsi="Symbol" w:cs="Symbol"/>
      <w:w w:val="100"/>
      <w:position w:val="0"/>
      <w:sz w:val="22"/>
      <w:sz w:val="22"/>
      <w:effect w:val="none"/>
      <w:vertAlign w:val="baseline"/>
      <w:em w:val="none"/>
    </w:rPr>
  </w:style>
  <w:style w:type="character" w:styleId="WW8Num14z1" w:customStyle="1">
    <w:name w:val="WW8Num14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4z2" w:customStyle="1">
    <w:name w:val="WW8Num14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4z3" w:customStyle="1">
    <w:name w:val="WW8Num14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5z0" w:customStyle="1">
    <w:name w:val="WW8Num15z0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WW8Num15z1" w:customStyle="1">
    <w:name w:val="WW8Num15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5z2" w:customStyle="1">
    <w:name w:val="WW8Num15z2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6z0" w:customStyle="1">
    <w:name w:val="WW8Num16z0"/>
    <w:qFormat/>
    <w:rPr>
      <w:rFonts w:ascii="Wingdings" w:hAnsi="Wingdings" w:cs="Wingdings"/>
      <w:w w:val="100"/>
      <w:position w:val="0"/>
      <w:sz w:val="24"/>
      <w:sz w:val="24"/>
      <w:effect w:val="none"/>
      <w:vertAlign w:val="baseline"/>
      <w:em w:val="none"/>
    </w:rPr>
  </w:style>
  <w:style w:type="character" w:styleId="WW8Num16z1" w:customStyle="1">
    <w:name w:val="WW8Num16z1"/>
    <w:qFormat/>
    <w:rPr>
      <w:rFonts w:ascii="Courier New" w:hAnsi="Courier New" w:cs="Courier New"/>
      <w:w w:val="100"/>
      <w:position w:val="0"/>
      <w:sz w:val="24"/>
      <w:sz w:val="24"/>
      <w:effect w:val="none"/>
      <w:vertAlign w:val="baseline"/>
      <w:em w:val="none"/>
    </w:rPr>
  </w:style>
  <w:style w:type="character" w:styleId="WW8Num16z3" w:customStyle="1">
    <w:name w:val="WW8Num16z3"/>
    <w:qFormat/>
    <w:rPr>
      <w:rFonts w:ascii="Symbol" w:hAnsi="Symbol" w:cs="Symbol"/>
      <w:w w:val="100"/>
      <w:position w:val="0"/>
      <w:sz w:val="24"/>
      <w:sz w:val="24"/>
      <w:effect w:val="none"/>
      <w:vertAlign w:val="baseline"/>
      <w:em w:val="none"/>
    </w:rPr>
  </w:style>
  <w:style w:type="character" w:styleId="Mfasifort" w:customStyle="1">
    <w:name w:val="Èmfasi fort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PiedepginaCar" w:customStyle="1">
    <w:name w:val="Pie de página Car"/>
    <w:qFormat/>
    <w:rPr>
      <w:w w:val="100"/>
      <w:position w:val="0"/>
      <w:sz w:val="24"/>
      <w:sz w:val="24"/>
      <w:szCs w:val="24"/>
      <w:effect w:val="none"/>
      <w:vertAlign w:val="baseline"/>
      <w:em w:val="none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6570c4"/>
    <w:rPr>
      <w:vertAlign w:val="subscript"/>
      <w:lang w:val="es-ES" w:eastAsia="zh-CN"/>
    </w:rPr>
  </w:style>
  <w:style w:type="character" w:styleId="PiedepginaCar1" w:customStyle="1">
    <w:name w:val="Pie de página Car1"/>
    <w:basedOn w:val="DefaultParagraphFont"/>
    <w:link w:val="Piedepgina"/>
    <w:uiPriority w:val="99"/>
    <w:qFormat/>
    <w:rsid w:val="006570c4"/>
    <w:rPr>
      <w:vertAlign w:val="subscript"/>
      <w:lang w:val="es-ES" w:eastAsia="zh-CN"/>
    </w:rPr>
  </w:style>
  <w:style w:type="character" w:styleId="Fuentedeprrafopredeter">
    <w:name w:val="Fuente de párrafo predeter."/>
    <w:qFormat/>
    <w:rPr/>
  </w:style>
  <w:style w:type="paragraph" w:styleId="Encapalament" w:customStyle="1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sdeltext" w:customStyle="1">
    <w:name w:val="Body Text"/>
    <w:basedOn w:val="Normal"/>
    <w:pPr>
      <w:spacing w:lineRule="auto" w:line="276" w:before="0" w:after="140"/>
    </w:pPr>
    <w:rPr/>
  </w:style>
  <w:style w:type="paragraph" w:styleId="Llista" w:customStyle="1">
    <w:name w:val="List"/>
    <w:basedOn w:val="Cosdeltext"/>
    <w:pPr/>
    <w:rPr>
      <w:rFonts w:cs="Arial"/>
    </w:rPr>
  </w:style>
  <w:style w:type="paragraph" w:styleId="Llegenda" w:customStyle="1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Ndex" w:customStyle="1">
    <w:name w:val="Índex"/>
    <w:basedOn w:val="Normal"/>
    <w:qFormat/>
    <w:pPr>
      <w:suppressLineNumbers/>
    </w:pPr>
    <w:rPr>
      <w:rFonts w:cs="Arial"/>
    </w:rPr>
  </w:style>
  <w:style w:type="paragraph" w:styleId="Ttol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paleraipeu" w:customStyle="1">
    <w:name w:val="Capçalera i peu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palera">
    <w:name w:val="Header"/>
    <w:basedOn w:val="Normal"/>
    <w:link w:val="EncabezadoCar"/>
    <w:uiPriority w:val="99"/>
    <w:unhideWhenUsed/>
    <w:rsid w:val="006570c4"/>
    <w:pPr>
      <w:tabs>
        <w:tab w:val="clear" w:pos="709"/>
        <w:tab w:val="center" w:pos="4252" w:leader="none"/>
        <w:tab w:val="right" w:pos="8504" w:leader="none"/>
      </w:tabs>
      <w:spacing w:lineRule="auto" w:line="240"/>
    </w:pPr>
    <w:rPr/>
  </w:style>
  <w:style w:type="paragraph" w:styleId="Peudepgina">
    <w:name w:val="Footer"/>
    <w:basedOn w:val="Normal"/>
    <w:link w:val="PiedepginaCar1"/>
    <w:uiPriority w:val="99"/>
    <w:unhideWhenUsed/>
    <w:rsid w:val="006570c4"/>
    <w:pPr>
      <w:tabs>
        <w:tab w:val="clear" w:pos="709"/>
        <w:tab w:val="center" w:pos="4252" w:leader="none"/>
        <w:tab w:val="right" w:pos="8504" w:leader="none"/>
      </w:tabs>
      <w:spacing w:lineRule="auto" w:line="240"/>
    </w:pPr>
    <w:rPr/>
  </w:style>
  <w:style w:type="paragraph" w:styleId="Formatolibre" w:customStyle="1">
    <w:name w:val="Formato libre"/>
    <w:qFormat/>
    <w:pPr>
      <w:widowControl/>
      <w:suppressAutoHyphens w:val="true"/>
      <w:bidi w:val="0"/>
      <w:spacing w:lineRule="atLeast" w:line="1" w:before="0" w:after="0"/>
      <w:ind w:left="-1" w:hanging="1"/>
      <w:jc w:val="left"/>
      <w:textAlignment w:val="top"/>
      <w:outlineLvl w:val="0"/>
    </w:pPr>
    <w:rPr>
      <w:rFonts w:ascii="Times New Roman" w:hAnsi="Times New Roman" w:eastAsia="ヒラギノ角ゴ Pro W3" w:cs="Times New Roman"/>
      <w:color w:val="000000"/>
      <w:kern w:val="0"/>
      <w:sz w:val="20"/>
      <w:szCs w:val="20"/>
      <w:vertAlign w:val="subscript"/>
      <w:lang w:val="ca-ES" w:eastAsia="zh-CN" w:bidi="ar-SA"/>
    </w:rPr>
  </w:style>
  <w:style w:type="paragraph" w:styleId="Ttulo31" w:customStyle="1">
    <w:name w:val="Título 31"/>
    <w:next w:val="Normal"/>
    <w:qFormat/>
    <w:pPr>
      <w:keepNext w:val="true"/>
      <w:widowControl w:val="false"/>
      <w:suppressAutoHyphens w:val="true"/>
      <w:bidi w:val="0"/>
      <w:spacing w:lineRule="atLeast" w:line="1" w:before="240" w:after="60"/>
      <w:ind w:left="-1" w:hanging="1"/>
      <w:jc w:val="left"/>
      <w:textAlignment w:val="top"/>
      <w:outlineLvl w:val="0"/>
    </w:pPr>
    <w:rPr>
      <w:rFonts w:ascii="Times" w:hAnsi="Times" w:eastAsia="ヒラギノ角ゴ Pro W3" w:cs="Times"/>
      <w:b/>
      <w:color w:val="000000"/>
      <w:kern w:val="2"/>
      <w:sz w:val="26"/>
      <w:szCs w:val="20"/>
      <w:vertAlign w:val="subscript"/>
      <w:lang w:val="ca-ES" w:eastAsia="zh-CN" w:bidi="ar-SA"/>
    </w:rPr>
  </w:style>
  <w:style w:type="paragraph" w:styleId="NormalWeb">
    <w:name w:val="Normal (Web)"/>
    <w:basedOn w:val="Normal"/>
    <w:qFormat/>
    <w:pPr>
      <w:spacing w:before="280" w:after="280"/>
    </w:pPr>
    <w:rPr>
      <w:rFonts w:eastAsia="Calibri"/>
      <w:sz w:val="20"/>
      <w:szCs w:val="20"/>
    </w:rPr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Contingutdelataula" w:customStyle="1">
    <w:name w:val="Contingut de la taula"/>
    <w:basedOn w:val="Normal"/>
    <w:qFormat/>
    <w:pPr>
      <w:widowControl w:val="false"/>
      <w:suppressLineNumbers/>
    </w:pPr>
    <w:rPr/>
  </w:style>
  <w:style w:type="paragraph" w:styleId="Encapalamentdelataula" w:customStyle="1">
    <w:name w:val="Encapçalament de la taula"/>
    <w:basedOn w:val="Contingutdelataula"/>
    <w:qFormat/>
    <w:pPr>
      <w:jc w:val="center"/>
    </w:pPr>
    <w:rPr>
      <w:b/>
      <w:bCs/>
    </w:rPr>
  </w:style>
  <w:style w:type="paragraph" w:styleId="Subttol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Párrafo de lista"/>
    <w:basedOn w:val="Normal"/>
    <w:qFormat/>
    <w:pPr>
      <w:ind w:left="708" w:hanging="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UYvBAFGiNoVfeBOe8yd+op7L6Kw==">CgMxLjA4AHIhMVFkLVRVUTJfN1lHcnhOZ1FpWk5oZEhrZ0VMelp6RnVF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LibreOffice/7.0.6.2$Windows_X86_64 LibreOffice_project/144abb84a525d8e30c9dbbefa69cbbf2d8d4ae3b</Application>
  <AppVersion>15.0000</AppVersion>
  <Pages>2</Pages>
  <Words>719</Words>
  <Characters>4113</Characters>
  <CharactersWithSpaces>4790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j&amp;n</dc:creator>
  <dc:description/>
  <dc:language>ca-ES</dc:language>
  <cp:lastModifiedBy/>
  <dcterms:modified xsi:type="dcterms:W3CDTF">2025-09-05T19:11:31Z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